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pStyle w:val="dingding-heading1"/>
      </w:pPr>
      <w:r>
        <w:rPr>
          <w:sz w:val="48"/>
          <w:b w:val="1"/>
        </w:rPr>
        <w:t xml:space="preserve">劳务人员意外险稽查需求文档</w:t>
      </w:r>
    </w:p>
    <w:p>
      <w:pPr/>
      <w:r>
        <w:rPr>
          <w:b w:val="1"/>
        </w:rPr>
        <w:t xml:space="preserve">一、需求背景：</w:t>
      </w:r>
    </w:p>
    <w:p>
      <w:pPr/>
      <w:r>
        <w:t xml:space="preserve">针对一线员工现场施工性质情况及保障员工人身保险安全，现对劳务人员意外险购买情况进行稽查通报，并满足业务上对入职未生效意外险员工进场风险评估做数据支撑。</w:t>
      </w:r>
    </w:p>
    <w:p>
      <w:pPr/>
      <w:r>
        <w:rPr>
          <w:b w:val="1"/>
        </w:rPr>
        <w:t xml:space="preserve">二、需求涉及集成系统</w:t>
      </w:r>
    </w:p>
    <w:p>
      <w:pPr/>
      <w:r>
        <w:t xml:space="preserve">产业工人管理系统、钉钉、主数据</w:t>
      </w:r>
    </w:p>
    <w:p>
      <w:pPr/>
      <w:r>
        <w:rPr>
          <w:b w:val="1"/>
        </w:rPr>
        <w:t xml:space="preserve">三、稽查取值范围：</w:t>
      </w:r>
    </w:p>
    <w:p>
      <w:pPr/>
      <w:r>
        <w:t xml:space="preserve">1、实施团队信息台账中工号前缀为“GN、XS、SH”的所有人员、</w:t>
      </w:r>
    </w:p>
    <w:p>
      <w:pPr/>
      <w:r>
        <w:t xml:space="preserve">2、意外险在保人员台账，数据来源为“共能HR、熙盛HR、韶华HR”的所有数据</w:t>
      </w:r>
    </w:p>
    <w:p>
      <w:pPr/>
      <w:r>
        <w:t xml:space="preserve">3、专项意外险在保人员台账，所有数据；</w:t>
      </w:r>
    </w:p>
    <w:p>
      <w:pPr/>
      <w:r>
        <w:t xml:space="preserve">4、意外险基础信息台账，数据来源为“共能HR、熙盛HR、韶华HR”的所有数据</w:t>
      </w:r>
    </w:p>
    <w:p>
      <w:pPr/>
      <w:r>
        <w:t xml:space="preserve">5、专项意外险基础信息台账，所有数据；</w:t>
      </w:r>
    </w:p>
    <w:p>
      <w:pPr/>
      <w:r>
        <w:rPr>
          <w:b w:val="1"/>
        </w:rPr>
        <w:t xml:space="preserve">四、稽查逻辑</w:t>
      </w:r>
    </w:p>
    <w:p>
      <w:pPr/>
      <w:r>
        <w:rPr>
          <w:color w:val="FE0300"/>
        </w:rPr>
        <w:t xml:space="preserve">1、应缴未缴人员：</w:t>
      </w:r>
    </w:p>
    <w:p>
      <w:pPr/>
      <w:r>
        <w:rPr/>
        <w:t xml:space="preserve">人员“作业类型”=参与现场作业的，对应工号/身份证号码在【意外险在保人员台账】【专项意外险在保人员台账】不存在的，稽查结果为应缴未缴人员；</w:t>
      </w:r>
    </w:p>
    <w:p>
      <w:pPr/>
      <w:r>
        <w:rPr>
          <w:color w:val="FE0300"/>
        </w:rPr>
        <w:t xml:space="preserve">2、不应缴未缴人员</w:t>
      </w:r>
      <w:r>
        <w:rPr/>
        <w:t xml:space="preserve">：</w:t>
      </w:r>
    </w:p>
    <w:p>
      <w:pPr/>
      <w:r>
        <w:rPr/>
        <w:t xml:space="preserve">人员“作业类型”=不参与现场作业的，对应工号/身份证号码在【意外险在保人员台账】【专项意外险在保人员台账】不存在的，稽查结果为不应缴未缴人员；</w:t>
      </w:r>
    </w:p>
    <w:p>
      <w:pPr/>
      <w:r>
        <w:rPr>
          <w:color w:val="FE0300"/>
        </w:rPr>
        <w:t xml:space="preserve">3、不应缴已缴人员：</w:t>
      </w:r>
    </w:p>
    <w:p>
      <w:pPr/>
      <w:r>
        <w:rPr/>
        <w:t xml:space="preserve">劳务人员均已在三劳务HR系统离职且在润建HR、产工系统非“在职/在岗”状态的，对应工号/身份证号码在【意外险在保人员台账】【专项意外险在保人员台账】存在的，稽查结果为不应缴应缴人员；</w:t>
      </w:r>
    </w:p>
    <w:p>
      <w:pPr/>
      <w:r>
        <w:rPr>
          <w:b w:val="1"/>
        </w:rPr>
        <w:t xml:space="preserve">针对应缴未缴人员名单中，细化“已发流程、未发流程”人员名单；</w:t>
      </w:r>
    </w:p>
    <w:p>
      <w:pPr/>
      <w:r>
        <w:rPr>
          <w:color w:val="FE0300"/>
        </w:rPr>
        <w:t xml:space="preserve">1、应缴未缴-已发流程人员：</w:t>
      </w:r>
    </w:p>
    <w:p>
      <w:pPr/>
      <w:r>
        <w:rPr/>
        <w:t xml:space="preserve">为应缴未缴人员的，对应工号/身份证号码在【意外险基础信息台账】【专项意外险基础信息台账】中存在且状态为“未承办”的，稽查结果为应缴未缴但已发购买意外险流程人员；</w:t>
      </w:r>
    </w:p>
    <w:p>
      <w:pPr/>
      <w:r>
        <w:rPr>
          <w:color w:val="FE0300"/>
        </w:rPr>
        <w:t xml:space="preserve">2、应缴未缴-未发流程人员：</w:t>
      </w:r>
    </w:p>
    <w:p>
      <w:pPr/>
      <w:r>
        <w:rPr/>
        <w:t xml:space="preserve">为应缴未缴人员的，对应工号/身份证号码在【意外险基础信息台账】【专项意外险基础信息台账】中不存在，稽查结果为应缴未缴且未发购买意外险流程人员；</w:t>
      </w:r>
    </w:p>
    <w:p>
      <w:pPr/>
      <w:r>
        <w:rPr>
          <w:b w:val="1"/>
        </w:rPr>
        <w:t xml:space="preserve">五、稽查通报时间</w:t>
      </w:r>
    </w:p>
    <w:p>
      <w:pPr/>
      <w:r>
        <w:rPr/>
        <w:t xml:space="preserve">1、每日凌晨0点前（23：00）进行轮询符合推送的场景、人员名单；</w:t>
      </w:r>
    </w:p>
    <w:p>
      <w:pPr/>
      <w:r>
        <w:rPr/>
        <w:t xml:space="preserve">2、每日早上8点30分准时推送钉钉工作通知及钉钉工作群（HR夸夸群）；</w:t>
      </w:r>
    </w:p>
    <w:p>
      <w:pPr/>
      <w:r>
        <w:rPr>
          <w:b w:val="1"/>
        </w:rPr>
        <w:t xml:space="preserve">六、通报推送对象：</w:t>
      </w:r>
    </w:p>
    <w:p>
      <w:pPr/>
      <w:r>
        <w:rPr/>
        <w:t xml:space="preserve">1、“应缴未缴人员、不应缴未缴人员”名单推送到对应人员部门负责人；（以五级部门为维度，汇总推送）</w:t>
      </w:r>
    </w:p>
    <w:p>
      <w:pPr/>
      <w:r>
        <w:rPr/>
        <w:t xml:space="preserve">2、“不应缴已缴人员、应缴未缴-已发流程人员、应缴未缴-未发流程人员”名单推送到对应钉钉工作群即可；（按三级架构部门为维度，汇总人员名单推送）</w:t>
      </w:r>
    </w:p>
    <w:p>
      <w:pPr/>
      <w:r>
        <w:rPr>
          <w:b w:val="1"/>
        </w:rPr>
        <w:t xml:space="preserve">七、消息推送文案：</w:t>
      </w:r>
    </w:p>
    <w:p>
      <w:pPr/>
      <w:r>
        <w:t xml:space="preserve">1、钉钉工作通知-应缴未缴/不应缴未缴：</w:t>
      </w:r>
    </w:p>
    <w:p>
      <w:pPr/>
      <w:r>
        <w:t xml:space="preserve">xxx-xxx（员工编号+姓名）您好，截止到yyyy-mm-dd，您所负责五级部门【xxx&gt;&gt;xxx&gt;&gt;xx&gt;&gt;xxx】；</w:t>
      </w:r>
    </w:p>
    <w:p>
      <w:pPr/>
      <w:r>
        <w:t xml:space="preserve">意外险应缴未缴/不应缴未缴人员名单一共xxx人，详情查看：http:.......</w:t>
      </w:r>
    </w:p>
    <w:p>
      <w:pPr/>
      <w:r>
        <w:t xml:space="preserve">(文案中详情用附件链接形式展示，点击即可跳转对应表格)</w:t>
      </w:r>
    </w:p>
    <w:p>
      <w:pPr/>
      <w:r>
        <w:t xml:space="preserve">2、钉钉工作群-</w:t>
      </w:r>
      <w:r>
        <w:rPr/>
        <w:t xml:space="preserve">不应缴已缴人员</w:t>
      </w:r>
      <w:r>
        <w:rPr>
          <w:color w:val="FE0300"/>
        </w:rPr>
        <w:t xml:space="preserve">（1.3）</w:t>
      </w:r>
      <w:r>
        <w:rPr/>
        <w:t xml:space="preserve">、应缴未缴-已发流程人员</w:t>
      </w:r>
      <w:r>
        <w:rPr>
          <w:color w:val="FE0300"/>
        </w:rPr>
        <w:t xml:space="preserve">(1.1)</w:t>
      </w:r>
      <w:r>
        <w:rPr/>
        <w:t xml:space="preserve">、应缴未缴-未发流程人员</w:t>
      </w:r>
      <w:r>
        <w:rPr>
          <w:color w:val="FE0300"/>
        </w:rPr>
        <w:t xml:space="preserve">(1.2)</w:t>
      </w:r>
      <w:r>
        <w:rPr/>
        <w:t xml:space="preserve">：</w:t>
      </w:r>
    </w:p>
    <w:p>
      <w:pPr/>
      <w:r>
        <w:rPr>
          <w:b w:val="1"/>
        </w:rPr>
        <w:t xml:space="preserve">——1.1【</w:t>
      </w:r>
      <w:r>
        <w:rPr>
          <w:sz w:val="24"/>
          <w:b w:val="1"/>
        </w:rPr>
        <w:t xml:space="preserve">LW合作伙伴人员意外险未生效</w:t>
      </w:r>
      <w:r>
        <w:rPr>
          <w:b w:val="1"/>
        </w:rPr>
        <w:t xml:space="preserve">提醒】</w:t>
      </w:r>
    </w:p>
    <w:p>
      <w:pPr/>
      <w:r>
        <w:rPr>
          <w:b w:val="1"/>
        </w:rPr>
        <w:t xml:space="preserve">截至X年X月X日，</w:t>
      </w:r>
      <w:r>
        <w:rPr>
          <w:sz w:val="24"/>
          <w:b w:val="1"/>
        </w:rPr>
        <w:t xml:space="preserve">LW合作伙伴人员意外险已发流程未生效情况如下：</w:t>
      </w:r>
    </w:p>
    <w:p>
      <w:pPr/>
      <w:r>
        <w:rPr>
          <w:b w:val="1"/>
        </w:rPr>
        <w:t xml:space="preserve">1、</w:t>
      </w:r>
      <w:r>
        <w:rPr>
          <w:sz w:val="24"/>
          <w:b w:val="1"/>
        </w:rPr>
        <w:t xml:space="preserve">LW合作伙伴人员意外险已发流程但</w:t>
      </w:r>
      <w:r>
        <w:rPr>
          <w:b w:val="1"/>
        </w:rPr>
        <w:t xml:space="preserve">未生效的人数共计</w:t>
      </w:r>
      <w:r>
        <w:rPr>
          <w:color w:val="C10002"/>
          <w:b w:val="1"/>
        </w:rPr>
        <w:t xml:space="preserve">XX人。</w:t>
      </w:r>
    </w:p>
    <w:p>
      <w:pPr/>
      <w:r>
        <w:rPr>
          <w:b w:val="1"/>
        </w:rPr>
        <w:t xml:space="preserve">2、</w:t>
      </w:r>
      <w:r>
        <w:rPr>
          <w:b w:val="1"/>
        </w:rPr>
        <w:t xml:space="preserve">根据公司意外险管理办理相关规定，请各单位人力资源部门自查自纠：</w:t>
      </w:r>
    </w:p>
    <w:p>
      <w:pPr/>
      <w:r>
        <w:t xml:space="preserve">（1）顶岗实习、合同工应缴纳意外险</w:t>
      </w:r>
    </w:p>
    <w:p>
      <w:pPr>
        <w:ind/>
      </w:pPr>
      <w:r>
        <w:t xml:space="preserve">（2）合同工无社保，需请单位核实社保及意外险情况</w:t>
      </w:r>
    </w:p>
    <w:p>
      <w:pPr/>
      <w:r>
        <w:rPr>
          <w:b w:val="1"/>
        </w:rPr>
        <w:t xml:space="preserve">3、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单位通过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LW-HR系统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-劳资管理-意外险管理-意外险异动信息管理进行意外险增减员，</w:t>
      </w:r>
      <w:r>
        <w:rPr>
          <w:b w:val="1"/>
        </w:rPr>
        <w:t xml:space="preserve">具体操作可咨询“数字人力助手”，人数分布如下：</w:t>
      </w:r>
    </w:p>
    <w:tbl>
      <w:tblPr>
        <w:tblStyle w:val="tableHeader"/>
        <w:tblW w:w="5000" w:type="pct"/>
        <w:tblLook w:firstRow="1" w:lastRow="0" w:firstColumn="0" w:lastColumn="0" w:noHBand="0" w:noVBand="0"/>
      </w:tblPr>
      <w:tblGrid>
        <w:gridCol w:w="3740"/>
        <w:gridCol w:w="3740"/>
        <w:gridCol w:w="3740"/>
      </w:tblGrid>
      <w:tr>
        <w:trPr>
          <w:trHeight w:val="0"/>
        </w:trPr>
        <w:tc>
          <w:tcPr>
            <w:tcW w:w="3740" w:type="dxa"/>
            <w:vAlign w:val="top"/>
          </w:tcPr>
          <w:p>
            <w:pPr/>
            <w:r>
              <w:t xml:space="preserve">二级单位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三级单位</w:t>
            </w:r>
          </w:p>
        </w:tc>
        <w:tc>
          <w:tcPr>
            <w:tcW w:w="3740" w:type="dxa"/>
            <w:vAlign w:val="top"/>
          </w:tcPr>
          <w:p>
            <w:pPr/>
            <w:r>
              <w:rPr>
                <w:b w:val="1"/>
              </w:rPr>
              <w:t xml:space="preserve">应缴未缴</w:t>
            </w:r>
          </w:p>
        </w:tc>
      </w:tr>
      <w:tr>
        <w:trPr>
          <w:trHeight w:val="0"/>
        </w:trPr>
        <w:tc>
          <w:tcPr>
            <w:tcW w:w="3740" w:type="dxa"/>
            <w:vAlign w:val="top"/>
          </w:tcPr>
          <w:p>
            <w:pPr/>
            <w:r>
              <w:t xml:space="preserve">区域组织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广东公司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7</w:t>
            </w:r>
          </w:p>
        </w:tc>
      </w:tr>
    </w:tbl>
    <w:p>
      <w:pPr/>
      <w:r>
        <w:t xml:space="preserve">附件：链接</w:t>
      </w:r>
    </w:p>
    <w:p>
      <w:pPr/>
      <w:r/>
    </w:p>
    <w:p>
      <w:pPr/>
      <w:r>
        <w:rPr>
          <w:b w:val="1"/>
        </w:rPr>
        <w:t xml:space="preserve">——1.2【</w:t>
      </w:r>
      <w:r>
        <w:rPr>
          <w:sz w:val="24"/>
          <w:b w:val="1"/>
        </w:rPr>
        <w:t xml:space="preserve">LW合作伙伴人员意外险应缴未缴</w:t>
      </w:r>
      <w:r>
        <w:rPr>
          <w:b w:val="1"/>
        </w:rPr>
        <w:t xml:space="preserve">提醒】</w:t>
      </w:r>
    </w:p>
    <w:p>
      <w:pPr/>
      <w:r>
        <w:rPr>
          <w:b w:val="1"/>
        </w:rPr>
        <w:t xml:space="preserve">截至X年X月X日，</w:t>
      </w:r>
      <w:r>
        <w:rPr>
          <w:sz w:val="24"/>
          <w:b w:val="1"/>
        </w:rPr>
        <w:t xml:space="preserve">LW合作伙伴人员意外险应缴未缴情况如下：</w:t>
      </w:r>
    </w:p>
    <w:p>
      <w:pPr/>
      <w:r>
        <w:rPr>
          <w:b w:val="1"/>
        </w:rPr>
        <w:t xml:space="preserve">1、</w:t>
      </w:r>
      <w:r>
        <w:rPr>
          <w:sz w:val="24"/>
          <w:b w:val="1"/>
        </w:rPr>
        <w:t xml:space="preserve">LW合作伙伴人员意外险</w:t>
      </w:r>
      <w:r>
        <w:rPr>
          <w:b w:val="1"/>
        </w:rPr>
        <w:t xml:space="preserve">应缴未缴人数共计</w:t>
      </w:r>
      <w:r>
        <w:rPr>
          <w:color w:val="C10002"/>
          <w:b w:val="1"/>
        </w:rPr>
        <w:t xml:space="preserve">XX人。</w:t>
      </w:r>
    </w:p>
    <w:p>
      <w:pPr/>
      <w:r>
        <w:rPr>
          <w:b w:val="1"/>
        </w:rPr>
        <w:t xml:space="preserve">2、</w:t>
      </w:r>
      <w:r>
        <w:rPr>
          <w:sz w:val="24"/>
          <w:b w:val="1"/>
        </w:rPr>
        <w:t xml:space="preserve">LW合作伙伴人员意外险</w:t>
      </w:r>
      <w:r>
        <w:rPr>
          <w:b w:val="1"/>
        </w:rPr>
        <w:t xml:space="preserve">应缴未缴</w:t>
      </w:r>
      <w:r>
        <w:rPr>
          <w:b w:val="1"/>
        </w:rPr>
        <w:t xml:space="preserve">数量排名前5的单位：</w:t>
      </w:r>
      <w:r>
        <w:rPr>
          <w:color w:val="C10002"/>
          <w:b w:val="1"/>
        </w:rPr>
        <w:t xml:space="preserve">XX单位XX人；XX单位XX人；XX单位XX人，XX单位XX人；XX单位XX人。</w:t>
      </w:r>
    </w:p>
    <w:p>
      <w:pPr/>
      <w:r>
        <w:rPr>
          <w:b w:val="1"/>
        </w:rPr>
        <w:t xml:space="preserve">3、根据公司意外险管理办理相关规定，请各单位人力资源部门自查自纠：</w:t>
      </w:r>
    </w:p>
    <w:p>
      <w:pPr/>
      <w:r>
        <w:t xml:space="preserve">（1）顶岗实习、合同工应缴纳意外险</w:t>
      </w:r>
    </w:p>
    <w:p>
      <w:pPr>
        <w:ind/>
      </w:pPr>
      <w:r>
        <w:t xml:space="preserve">（2）合同工无社保，需请单位核实社保及意外险情况</w:t>
      </w:r>
    </w:p>
    <w:p>
      <w:pPr/>
      <w:r>
        <w:rPr>
          <w:b w:val="1"/>
        </w:rPr>
        <w:t xml:space="preserve">4、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单位通过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LW-HR系统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-劳资管理-意外险管理-意外险异动信息管理进行意外险增减员，</w:t>
      </w:r>
      <w:r>
        <w:rPr>
          <w:b w:val="1"/>
        </w:rPr>
        <w:t xml:space="preserve">具体操作可咨询“数字人力助手”，人数分布如下：</w:t>
      </w:r>
    </w:p>
    <w:tbl>
      <w:tblPr>
        <w:tblStyle w:val="tableHeader"/>
        <w:tblW w:w="5000" w:type="pct"/>
        <w:tblLook w:firstRow="1" w:lastRow="0" w:firstColumn="0" w:lastColumn="0" w:noHBand="0" w:noVBand="0"/>
      </w:tblPr>
      <w:tblGrid>
        <w:gridCol w:w="3740"/>
        <w:gridCol w:w="3740"/>
        <w:gridCol w:w="3740"/>
      </w:tblGrid>
      <w:tr>
        <w:trPr>
          <w:trHeight w:val="0"/>
        </w:trPr>
        <w:tc>
          <w:tcPr>
            <w:tcW w:w="3740" w:type="dxa"/>
            <w:vAlign w:val="top"/>
          </w:tcPr>
          <w:p>
            <w:pPr/>
            <w:r>
              <w:t xml:space="preserve">二级单位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三级单位</w:t>
            </w:r>
          </w:p>
        </w:tc>
        <w:tc>
          <w:tcPr>
            <w:tcW w:w="3740" w:type="dxa"/>
            <w:vAlign w:val="top"/>
          </w:tcPr>
          <w:p>
            <w:pPr/>
            <w:r>
              <w:rPr>
                <w:b w:val="1"/>
              </w:rPr>
              <w:t xml:space="preserve">应缴未缴</w:t>
            </w:r>
          </w:p>
        </w:tc>
      </w:tr>
      <w:tr>
        <w:trPr>
          <w:trHeight w:val="0"/>
        </w:trPr>
        <w:tc>
          <w:tcPr>
            <w:tcW w:w="3740" w:type="dxa"/>
            <w:vAlign w:val="top"/>
          </w:tcPr>
          <w:p>
            <w:pPr/>
            <w:r>
              <w:t xml:space="preserve">区域组织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广东公司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7</w:t>
            </w:r>
          </w:p>
        </w:tc>
      </w:tr>
    </w:tbl>
    <w:p>
      <w:pPr/>
      <w:r>
        <w:t xml:space="preserve">附件：链接</w:t>
      </w:r>
    </w:p>
    <w:p>
      <w:pPr/>
      <w:r/>
    </w:p>
    <w:p>
      <w:pPr/>
      <w:r>
        <w:rPr>
          <w:b w:val="1"/>
        </w:rPr>
        <w:t xml:space="preserve">——1.3【</w:t>
      </w:r>
      <w:r>
        <w:rPr>
          <w:sz w:val="24"/>
          <w:b w:val="1"/>
        </w:rPr>
        <w:t xml:space="preserve">LW合作伙伴人员意外险</w:t>
      </w:r>
      <w:r>
        <w:rPr>
          <w:b w:val="1"/>
        </w:rPr>
        <w:t xml:space="preserve">不应缴已缴提醒】</w:t>
      </w:r>
    </w:p>
    <w:p>
      <w:pPr/>
      <w:r>
        <w:rPr>
          <w:b w:val="1"/>
        </w:rPr>
        <w:t xml:space="preserve">截至X年X月X日，</w:t>
      </w:r>
      <w:r>
        <w:rPr>
          <w:sz w:val="24"/>
          <w:b w:val="1"/>
        </w:rPr>
        <w:t xml:space="preserve">LW合作伙伴人员意外险</w:t>
      </w:r>
      <w:r>
        <w:rPr>
          <w:b w:val="1"/>
        </w:rPr>
        <w:t xml:space="preserve">不应缴已缴</w:t>
      </w:r>
      <w:r>
        <w:rPr>
          <w:sz w:val="24"/>
          <w:b w:val="1"/>
        </w:rPr>
        <w:t xml:space="preserve">情况如下：</w:t>
      </w:r>
    </w:p>
    <w:p>
      <w:pPr/>
      <w:r>
        <w:rPr>
          <w:b w:val="1"/>
        </w:rPr>
        <w:t xml:space="preserve">1、</w:t>
      </w:r>
      <w:r>
        <w:rPr>
          <w:sz w:val="24"/>
          <w:b w:val="1"/>
        </w:rPr>
        <w:t xml:space="preserve">LW合作伙伴人员意外险</w:t>
      </w:r>
      <w:r>
        <w:rPr>
          <w:b w:val="1"/>
        </w:rPr>
        <w:t xml:space="preserve">不应缴已缴人数共计</w:t>
      </w:r>
      <w:r>
        <w:rPr>
          <w:color w:val="C10002"/>
          <w:b w:val="1"/>
        </w:rPr>
        <w:t xml:space="preserve">XX人</w:t>
      </w:r>
      <w:r>
        <w:rPr>
          <w:b w:val="1"/>
        </w:rPr>
        <w:t xml:space="preserve">。</w:t>
      </w:r>
    </w:p>
    <w:p>
      <w:pPr/>
      <w:r>
        <w:rPr>
          <w:b w:val="1"/>
        </w:rPr>
        <w:t xml:space="preserve">2、</w:t>
      </w:r>
      <w:r>
        <w:rPr>
          <w:sz w:val="24"/>
          <w:b w:val="1"/>
        </w:rPr>
        <w:t xml:space="preserve">LW合作伙伴人员意外险</w:t>
      </w:r>
      <w:r>
        <w:rPr>
          <w:b w:val="1"/>
        </w:rPr>
        <w:t xml:space="preserve">不应缴已缴</w:t>
      </w:r>
      <w:r>
        <w:rPr>
          <w:b w:val="1"/>
        </w:rPr>
        <w:t xml:space="preserve">数量排名前5的单位：</w:t>
      </w:r>
      <w:r>
        <w:rPr>
          <w:color w:val="C10002"/>
          <w:b w:val="1"/>
        </w:rPr>
        <w:t xml:space="preserve">XX单位XX人；XX单位XX人；XX单位XX人，XX单位XX人；XX单位XX人。</w:t>
      </w:r>
    </w:p>
    <w:p>
      <w:pPr/>
      <w:r>
        <w:rPr>
          <w:b w:val="1"/>
        </w:rPr>
        <w:t xml:space="preserve">3、根据公司意外险管理办理相关规定，请各单位人力资源部门自查自纠：</w:t>
      </w:r>
    </w:p>
    <w:p>
      <w:pPr/>
      <w:r>
        <w:t xml:space="preserve">（1）顶岗实习、合同工应缴纳意外险</w:t>
      </w:r>
    </w:p>
    <w:p>
      <w:pPr>
        <w:ind/>
      </w:pPr>
      <w:r>
        <w:t xml:space="preserve">（2）合同工无社保，需请单位核实社保及意外险情况</w:t>
      </w:r>
    </w:p>
    <w:p>
      <w:pPr/>
      <w:r>
        <w:rPr>
          <w:b w:val="1"/>
        </w:rPr>
        <w:t xml:space="preserve">4、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单位通过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LW-HR系统</w:t>
      </w:r>
      <w:r>
        <w:rPr>
          <w:sz w:val="24"/>
          <w:rFonts w:ascii="DengXian" w:hAnsi="DengXian" w:cs="DengXian" w:eastAsia="DengXian"/>
          <w:b w:val="1"/>
          <w:kern w:val="2"/>
        </w:rPr>
        <w:t xml:space="preserve">-劳资管理-意外险管理-意外险异动信息管理进行意外险增减员，</w:t>
      </w:r>
      <w:r>
        <w:rPr>
          <w:b w:val="1"/>
        </w:rPr>
        <w:t xml:space="preserve">具体操作可咨询“数字人力助手”，人数分布如下：</w:t>
      </w:r>
    </w:p>
    <w:tbl>
      <w:tblPr>
        <w:tblStyle w:val="tableHeader"/>
        <w:tblW w:w="5000" w:type="pct"/>
        <w:tblLook w:firstRow="1" w:lastRow="0" w:firstColumn="0" w:lastColumn="0" w:noHBand="0" w:noVBand="0"/>
      </w:tblPr>
      <w:tblGrid>
        <w:gridCol w:w="3740"/>
        <w:gridCol w:w="3740"/>
        <w:gridCol w:w="3740"/>
      </w:tblGrid>
      <w:tr>
        <w:trPr>
          <w:trHeight w:val="0"/>
        </w:trPr>
        <w:tc>
          <w:tcPr>
            <w:tcW w:w="3740" w:type="dxa"/>
            <w:vAlign w:val="top"/>
          </w:tcPr>
          <w:p>
            <w:pPr/>
            <w:r>
              <w:t xml:space="preserve">二级单位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三级单位</w:t>
            </w:r>
          </w:p>
        </w:tc>
        <w:tc>
          <w:tcPr>
            <w:tcW w:w="3740" w:type="dxa"/>
            <w:vAlign w:val="top"/>
          </w:tcPr>
          <w:p>
            <w:pPr/>
            <w:r>
              <w:rPr>
                <w:b w:val="1"/>
              </w:rPr>
              <w:t xml:space="preserve">不应缴已缴</w:t>
            </w:r>
          </w:p>
        </w:tc>
      </w:tr>
      <w:tr>
        <w:trPr>
          <w:trHeight w:val="0"/>
        </w:trPr>
        <w:tc>
          <w:tcPr>
            <w:tcW w:w="3740" w:type="dxa"/>
            <w:vAlign w:val="top"/>
          </w:tcPr>
          <w:p>
            <w:pPr/>
            <w:r>
              <w:t xml:space="preserve">区域组织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广东公司</w:t>
            </w:r>
          </w:p>
        </w:tc>
        <w:tc>
          <w:tcPr>
            <w:tcW w:w="3740" w:type="dxa"/>
            <w:vAlign w:val="top"/>
          </w:tcPr>
          <w:p>
            <w:pPr/>
            <w:r>
              <w:t xml:space="preserve">7</w:t>
            </w:r>
          </w:p>
        </w:tc>
      </w:tr>
    </w:tbl>
    <w:p>
      <w:pPr/>
      <w:r>
        <w:t xml:space="preserve">附件：链接</w:t>
      </w:r>
    </w:p>
    <w:sectPr>
      <w:pgSz w:w="13380" w:h="16905"/>
      <w:pgMar w:top="720" w:right="1080" w:bottom="720" w:left="1080" w:header="850.95" w:footer="991.95" w:gutter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0" w:styleId="dingding-heading1">
    <w:name w:val="heading 1"/>
    <w:basedOn w:val="NormalParagraph"/>
    <w:tcPr/>
    <w:pPr>
      <w:keepLines w:val="1"/>
      <w:keepNext w:val="1"/>
      <w:spacing w:before="348" w:after="210" w:lineRule="auto"/>
    </w:pPr>
    <w:rPr>
      <w:sz w:val="34"/>
      <w:b w:val="1"/>
    </w:rPr>
  </w:style>
  <w:style w:type="paragraph" w:default="1" w:styleId="docDefaults">
    <w:name w:val="dingdocnormal"/>
    <w:tcPr/>
    <w:pPr>
      <w:spacing/>
    </w:pPr>
    <w:rPr>
      <w:sz w:val="24"/>
    </w:rPr>
  </w:style>
  <w:style w:type="table" w:default="0" w:styleId="tableDefault">
    <w:name w:val=""/>
    <w:tblPr>
      <w:tblStyle w:val="TableGrid"/>
      <w:tblBorders>
        <w:left w:val="single" w:sz="6" w:space="0" w:color="D6D6D6"/>
        <w:right w:val="single" w:sz="6" w:space="0" w:color="D6D6D6"/>
        <w:top w:val="single" w:sz="6" w:space="0" w:color="D6D6D6"/>
        <w:bottom w:val="single" w:sz="6" w:space="0" w:color="D6D6D6"/>
        <w:insideH w:val="single" w:sz="6" w:space="0" w:color="D6D6D6"/>
        <w:insideV w:val="single" w:sz="6" w:space="0" w:color="D6D6D6"/>
      </w:tblBorders>
      <w:tblW w:w="0" w:type="auto"/>
    </w:tblPr>
    <w:tcPr/>
  </w:style>
  <w:style w:type="table" w:default="0" w:styleId="tableHeader">
    <w:name w:val=""/>
    <w:basedOn w:val="tableDefault"/>
    <w:tcPr/>
    <w:tblStylePr w:type="firstRow">
      <w:tcPr>
        <w:shd w:val="clear" w:color="" w:fill="F5F6F7"/>
      </w:tcPr>
    </w:tblStylePr>
    <w:tblStylePr w:type="firstCol">
      <w:tcPr>
        <w:shd w:val="clear" w:color="" w:fill="F5F6F7"/>
      </w:tcPr>
    </w:tblStyle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