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D456"/>
    <w:p w14:paraId="29125315"/>
    <w:p w14:paraId="6A822B1E"/>
    <w:p w14:paraId="76DB0514"/>
    <w:p w14:paraId="6C90C151"/>
    <w:p w14:paraId="373EA7BA"/>
    <w:p w14:paraId="6D3C04C3">
      <w:pPr>
        <w:ind w:firstLine="0"/>
        <w:jc w:val="center"/>
      </w:pPr>
      <w:r>
        <w:rPr>
          <w:rFonts w:ascii="Arial" w:hAnsi="Arial" w:eastAsia="黑体"/>
          <w:b/>
          <w:sz w:val="52"/>
        </w:rPr>
        <w:t>支付宝支付功能</w:t>
      </w:r>
    </w:p>
    <w:p w14:paraId="36F69392">
      <w:pPr>
        <w:ind w:firstLine="0"/>
        <w:jc w:val="center"/>
      </w:pPr>
      <w:r>
        <w:rPr>
          <w:rFonts w:ascii="Arial" w:hAnsi="Arial" w:eastAsia="黑体"/>
          <w:b/>
          <w:color w:val="1677FF"/>
          <w:sz w:val="56"/>
        </w:rPr>
        <w:t>测 试 方 案</w:t>
      </w:r>
    </w:p>
    <w:p w14:paraId="1A08E4B1"/>
    <w:p w14:paraId="3B2B384B"/>
    <w:p w14:paraId="3C3F5A74"/>
    <w:p w14:paraId="22C58166"/>
    <w:p w14:paraId="27972DF6"/>
    <w:tbl>
      <w:tblPr>
        <w:tblStyle w:val="3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535"/>
      </w:tblGrid>
      <w:tr w14:paraId="0274A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2F2"/>
            <w:vAlign w:val="center"/>
          </w:tcPr>
          <w:p w14:paraId="3353034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文档版本</w:t>
            </w:r>
          </w:p>
        </w:tc>
        <w:tc>
          <w:tcPr>
            <w:tcW w:w="4535" w:type="dxa"/>
            <w:vAlign w:val="center"/>
          </w:tcPr>
          <w:p w14:paraId="5614A38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V1.0</w:t>
            </w:r>
          </w:p>
        </w:tc>
      </w:tr>
      <w:tr w14:paraId="20D42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2F2"/>
            <w:vAlign w:val="center"/>
          </w:tcPr>
          <w:p w14:paraId="5B3B5EA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产品版本</w:t>
            </w:r>
          </w:p>
        </w:tc>
        <w:tc>
          <w:tcPr>
            <w:tcW w:w="4535" w:type="dxa"/>
            <w:vAlign w:val="center"/>
          </w:tcPr>
          <w:p w14:paraId="31CC8104">
            <w:pPr>
              <w:spacing w:before="40" w:after="40"/>
              <w:ind w:firstLine="0"/>
              <w:jc w:val="center"/>
            </w:pPr>
            <w:bookmarkStart w:id="32" w:name="_GoBack"/>
            <w:bookmarkEnd w:id="32"/>
          </w:p>
        </w:tc>
      </w:tr>
      <w:tr w14:paraId="786DE4A1">
        <w:trPr>
          <w:jc w:val="center"/>
        </w:trPr>
        <w:tc>
          <w:tcPr>
            <w:tcW w:w="2268" w:type="dxa"/>
            <w:shd w:val="clear" w:color="auto" w:fill="F2F2F2"/>
            <w:vAlign w:val="center"/>
          </w:tcPr>
          <w:p w14:paraId="3614346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测试周期</w:t>
            </w:r>
          </w:p>
        </w:tc>
        <w:tc>
          <w:tcPr>
            <w:tcW w:w="4535" w:type="dxa"/>
            <w:vAlign w:val="center"/>
          </w:tcPr>
          <w:p w14:paraId="0D19029C">
            <w:pPr>
              <w:spacing w:before="40" w:after="40"/>
              <w:ind w:firstLine="0"/>
              <w:jc w:val="center"/>
            </w:pPr>
          </w:p>
        </w:tc>
      </w:tr>
      <w:tr w14:paraId="1DE76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2F2"/>
            <w:vAlign w:val="center"/>
          </w:tcPr>
          <w:p w14:paraId="43771ED9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编写人</w:t>
            </w:r>
          </w:p>
        </w:tc>
        <w:tc>
          <w:tcPr>
            <w:tcW w:w="4535" w:type="dxa"/>
            <w:vAlign w:val="center"/>
          </w:tcPr>
          <w:p w14:paraId="561A569E">
            <w:pPr>
              <w:spacing w:before="40" w:after="40"/>
              <w:ind w:firstLine="0"/>
              <w:jc w:val="center"/>
            </w:pPr>
          </w:p>
        </w:tc>
      </w:tr>
      <w:tr w14:paraId="5B942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2F2F2"/>
            <w:vAlign w:val="center"/>
          </w:tcPr>
          <w:p w14:paraId="53AE554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密级</w:t>
            </w:r>
          </w:p>
        </w:tc>
        <w:tc>
          <w:tcPr>
            <w:tcW w:w="4535" w:type="dxa"/>
            <w:vAlign w:val="center"/>
          </w:tcPr>
          <w:p w14:paraId="263C75C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内部公开（已脱敏）</w:t>
            </w:r>
          </w:p>
        </w:tc>
      </w:tr>
    </w:tbl>
    <w:p w14:paraId="2E1E955A">
      <w:r>
        <w:br w:type="page"/>
      </w:r>
    </w:p>
    <w:p w14:paraId="696BB325">
      <w:pPr>
        <w:ind w:firstLine="0"/>
        <w:jc w:val="center"/>
      </w:pPr>
      <w:r>
        <w:rPr>
          <w:rFonts w:ascii="Arial" w:hAnsi="Arial" w:eastAsia="黑体"/>
          <w:b/>
          <w:sz w:val="36"/>
        </w:rPr>
        <w:t>目  录</w:t>
      </w:r>
    </w:p>
    <w:p w14:paraId="5BC3640C"/>
    <w:p w14:paraId="11D3D93C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TOC \o "1-2" \h \z \u</w:instrText>
      </w:r>
      <w:r>
        <w:fldChar w:fldCharType="separate"/>
      </w:r>
      <w:r>
        <w:fldChar w:fldCharType="begin"/>
      </w:r>
      <w:r>
        <w:instrText xml:space="preserve"> HYPERLINK \l _Toc29157 </w:instrText>
      </w:r>
      <w:r>
        <w:fldChar w:fldCharType="separate"/>
      </w:r>
      <w:r>
        <w:t>1. 项目概述</w:t>
      </w:r>
      <w:r>
        <w:tab/>
      </w:r>
      <w:r>
        <w:fldChar w:fldCharType="begin"/>
      </w:r>
      <w:r>
        <w:instrText xml:space="preserve"> PAGEREF _Toc29157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7971EA98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_Toc27642 </w:instrText>
      </w:r>
      <w:r>
        <w:fldChar w:fldCharType="separate"/>
      </w:r>
      <w:r>
        <w:t>1.1 业务介绍</w:t>
      </w:r>
      <w:r>
        <w:tab/>
      </w:r>
      <w:r>
        <w:fldChar w:fldCharType="begin"/>
      </w:r>
      <w:r>
        <w:instrText xml:space="preserve"> PAGEREF _Toc27642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3F8DF38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_Toc10417 </w:instrText>
      </w:r>
      <w:r>
        <w:fldChar w:fldCharType="separate"/>
      </w:r>
      <w:r>
        <w:t>1.2 架构介绍</w:t>
      </w:r>
      <w:r>
        <w:tab/>
      </w:r>
      <w:r>
        <w:fldChar w:fldCharType="begin"/>
      </w:r>
      <w:r>
        <w:instrText xml:space="preserve"> PAGEREF _Toc10417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18C327C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_Toc20887 </w:instrText>
      </w:r>
      <w:r>
        <w:fldChar w:fldCharType="separate"/>
      </w:r>
      <w:r>
        <w:t>1.3 功能简介</w:t>
      </w:r>
      <w:r>
        <w:tab/>
      </w:r>
      <w:r>
        <w:fldChar w:fldCharType="begin"/>
      </w:r>
      <w:r>
        <w:instrText xml:space="preserve"> PAGEREF _Toc20887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49BCB1CF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_Toc23030 </w:instrText>
      </w:r>
      <w:r>
        <w:fldChar w:fldCharType="separate"/>
      </w:r>
      <w:r>
        <w:t>1.4 测试背景与目标</w:t>
      </w:r>
      <w:r>
        <w:tab/>
      </w:r>
      <w:r>
        <w:fldChar w:fldCharType="begin"/>
      </w:r>
      <w:r>
        <w:instrText xml:space="preserve"> PAGEREF _Toc23030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037BBD42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_Toc5909 </w:instrText>
      </w:r>
      <w:r>
        <w:fldChar w:fldCharType="separate"/>
      </w:r>
      <w:r>
        <w:t>2. 诊断与分析</w:t>
      </w:r>
      <w:r>
        <w:tab/>
      </w:r>
      <w:r>
        <w:fldChar w:fldCharType="begin"/>
      </w:r>
      <w:r>
        <w:instrText xml:space="preserve"> PAGEREF _Toc5909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C3E4527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_Toc32434 </w:instrText>
      </w:r>
      <w:r>
        <w:fldChar w:fldCharType="separate"/>
      </w:r>
      <w:r>
        <w:t>2.1 5W2H分析</w:t>
      </w:r>
      <w:r>
        <w:tab/>
      </w:r>
      <w:r>
        <w:fldChar w:fldCharType="begin"/>
      </w:r>
      <w:r>
        <w:instrText xml:space="preserve"> PAGEREF _Toc32434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6F763E61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_Toc17886 </w:instrText>
      </w:r>
      <w:r>
        <w:fldChar w:fldCharType="separate"/>
      </w:r>
      <w:r>
        <w:t>2.2 SWOT分析</w:t>
      </w:r>
      <w:r>
        <w:tab/>
      </w:r>
      <w:r>
        <w:fldChar w:fldCharType="begin"/>
      </w:r>
      <w:r>
        <w:instrText xml:space="preserve"> PAGEREF _Toc17886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E52E2DD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_Toc9603 </w:instrText>
      </w:r>
      <w:r>
        <w:fldChar w:fldCharType="separate"/>
      </w:r>
      <w:r>
        <w:t>2.3 质量挑战识别</w:t>
      </w:r>
      <w:r>
        <w:tab/>
      </w:r>
      <w:r>
        <w:fldChar w:fldCharType="begin"/>
      </w:r>
      <w:r>
        <w:instrText xml:space="preserve"> PAGEREF _Toc9603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376F917D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_Toc6534 </w:instrText>
      </w:r>
      <w:r>
        <w:fldChar w:fldCharType="separate"/>
      </w:r>
      <w:r>
        <w:t>3. 测试策略</w:t>
      </w:r>
      <w:r>
        <w:tab/>
      </w:r>
      <w:r>
        <w:fldChar w:fldCharType="begin"/>
      </w:r>
      <w:r>
        <w:instrText xml:space="preserve"> PAGEREF _Toc6534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6E72DDE7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_Toc11608 </w:instrText>
      </w:r>
      <w:r>
        <w:fldChar w:fldCharType="separate"/>
      </w:r>
      <w:r>
        <w:t>3.1 功能测试策略</w:t>
      </w:r>
      <w:r>
        <w:tab/>
      </w:r>
      <w:r>
        <w:fldChar w:fldCharType="begin"/>
      </w:r>
      <w:r>
        <w:instrText xml:space="preserve"> PAGEREF _Toc11608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6984FDB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_Toc26696 </w:instrText>
      </w:r>
      <w:r>
        <w:fldChar w:fldCharType="separate"/>
      </w:r>
      <w:r>
        <w:t>3.2 兼容性测试策略</w:t>
      </w:r>
      <w:r>
        <w:tab/>
      </w:r>
      <w:r>
        <w:fldChar w:fldCharType="begin"/>
      </w:r>
      <w:r>
        <w:instrText xml:space="preserve"> PAGEREF _Toc26696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FF1A4D6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_Toc17014 </w:instrText>
      </w:r>
      <w:r>
        <w:fldChar w:fldCharType="separate"/>
      </w:r>
      <w:r>
        <w:t>3.3 性能测试策略</w:t>
      </w:r>
      <w:r>
        <w:tab/>
      </w:r>
      <w:r>
        <w:fldChar w:fldCharType="begin"/>
      </w:r>
      <w:r>
        <w:instrText xml:space="preserve"> PAGEREF _Toc17014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44C57E5B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_Toc2143 </w:instrText>
      </w:r>
      <w:r>
        <w:fldChar w:fldCharType="separate"/>
      </w:r>
      <w:r>
        <w:t>3.4 安全测试策略</w:t>
      </w:r>
      <w:r>
        <w:tab/>
      </w:r>
      <w:r>
        <w:fldChar w:fldCharType="begin"/>
      </w:r>
      <w:r>
        <w:instrText xml:space="preserve"> PAGEREF _Toc2143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65AF1E43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_Toc6391 </w:instrText>
      </w:r>
      <w:r>
        <w:fldChar w:fldCharType="separate"/>
      </w:r>
      <w:r>
        <w:t>3.5 测试类型选择理由</w:t>
      </w:r>
      <w:r>
        <w:tab/>
      </w:r>
      <w:r>
        <w:fldChar w:fldCharType="begin"/>
      </w:r>
      <w:r>
        <w:instrText xml:space="preserve"> PAGEREF _Toc6391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155975B2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_Toc24869 </w:instrText>
      </w:r>
      <w:r>
        <w:fldChar w:fldCharType="separate"/>
      </w:r>
      <w:r>
        <w:t>4. 测试计划</w:t>
      </w:r>
      <w:r>
        <w:tab/>
      </w:r>
      <w:r>
        <w:fldChar w:fldCharType="begin"/>
      </w:r>
      <w:r>
        <w:instrText xml:space="preserve"> PAGEREF _Toc24869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1CEE22F2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_Toc30700 </w:instrText>
      </w:r>
      <w:r>
        <w:fldChar w:fldCharType="separate"/>
      </w:r>
      <w:r>
        <w:t>4.1 测试范围与边界</w:t>
      </w:r>
      <w:r>
        <w:tab/>
      </w:r>
      <w:r>
        <w:fldChar w:fldCharType="begin"/>
      </w:r>
      <w:r>
        <w:instrText xml:space="preserve"> PAGEREF _Toc30700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66208F3E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_Toc3609 </w:instrText>
      </w:r>
      <w:r>
        <w:fldChar w:fldCharType="separate"/>
      </w:r>
      <w:r>
        <w:t>4.2 时间进度与里程碑</w:t>
      </w:r>
      <w:r>
        <w:tab/>
      </w:r>
      <w:r>
        <w:fldChar w:fldCharType="begin"/>
      </w:r>
      <w:r>
        <w:instrText xml:space="preserve"> PAGEREF _Toc3609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128425B5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_Toc700 </w:instrText>
      </w:r>
      <w:r>
        <w:fldChar w:fldCharType="separate"/>
      </w:r>
      <w:r>
        <w:t>4.3 资源需求与分配</w:t>
      </w:r>
      <w:r>
        <w:tab/>
      </w:r>
      <w:r>
        <w:fldChar w:fldCharType="begin"/>
      </w:r>
      <w:r>
        <w:instrText xml:space="preserve"> PAGEREF _Toc700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04E2BA79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_Toc27459 </w:instrText>
      </w:r>
      <w:r>
        <w:fldChar w:fldCharType="separate"/>
      </w:r>
      <w:r>
        <w:t>5. 团队与能力</w:t>
      </w:r>
      <w:r>
        <w:tab/>
      </w:r>
      <w:r>
        <w:fldChar w:fldCharType="begin"/>
      </w:r>
      <w:r>
        <w:instrText xml:space="preserve"> PAGEREF _Toc27459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36C4180F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_Toc23178 </w:instrText>
      </w:r>
      <w:r>
        <w:fldChar w:fldCharType="separate"/>
      </w:r>
      <w:r>
        <w:t>5.1 团队能力现状评估</w:t>
      </w:r>
      <w:r>
        <w:tab/>
      </w:r>
      <w:r>
        <w:fldChar w:fldCharType="begin"/>
      </w:r>
      <w:r>
        <w:instrText xml:space="preserve"> PAGEREF _Toc23178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740E6A3B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_Toc23952 </w:instrText>
      </w:r>
      <w:r>
        <w:fldChar w:fldCharType="separate"/>
      </w:r>
      <w:r>
        <w:t>5.2 能力差距分析</w:t>
      </w:r>
      <w:r>
        <w:tab/>
      </w:r>
      <w:r>
        <w:fldChar w:fldCharType="begin"/>
      </w:r>
      <w:r>
        <w:instrText xml:space="preserve"> PAGEREF _Toc23952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7670852B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_Toc16284 </w:instrText>
      </w:r>
      <w:r>
        <w:fldChar w:fldCharType="separate"/>
      </w:r>
      <w:r>
        <w:t>5.3 改进路线图规划</w:t>
      </w:r>
      <w:r>
        <w:tab/>
      </w:r>
      <w:r>
        <w:fldChar w:fldCharType="begin"/>
      </w:r>
      <w:r>
        <w:instrText xml:space="preserve"> PAGEREF _Toc16284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444BE388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_Toc32530 </w:instrText>
      </w:r>
      <w:r>
        <w:fldChar w:fldCharType="separate"/>
      </w:r>
      <w:r>
        <w:t>5.4 资源需求</w:t>
      </w:r>
      <w:r>
        <w:tab/>
      </w:r>
      <w:r>
        <w:fldChar w:fldCharType="begin"/>
      </w:r>
      <w:r>
        <w:instrText xml:space="preserve"> PAGEREF _Toc32530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38DD44E5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_Toc23316 </w:instrText>
      </w:r>
      <w:r>
        <w:fldChar w:fldCharType="separate"/>
      </w:r>
      <w:r>
        <w:t>6. 风险评估</w:t>
      </w:r>
      <w:r>
        <w:tab/>
      </w:r>
      <w:r>
        <w:fldChar w:fldCharType="begin"/>
      </w:r>
      <w:r>
        <w:instrText xml:space="preserve"> PAGEREF _Toc23316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502A85B3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_Toc22095 </w:instrText>
      </w:r>
      <w:r>
        <w:fldChar w:fldCharType="separate"/>
      </w:r>
      <w:r>
        <w:t>6.1 主要风险识别</w:t>
      </w:r>
      <w:r>
        <w:tab/>
      </w:r>
      <w:r>
        <w:fldChar w:fldCharType="begin"/>
      </w:r>
      <w:r>
        <w:instrText xml:space="preserve"> PAGEREF _Toc22095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176C3490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_Toc23434 </w:instrText>
      </w:r>
      <w:r>
        <w:fldChar w:fldCharType="separate"/>
      </w:r>
      <w:r>
        <w:t>6.2 应对措施制定</w:t>
      </w:r>
      <w:r>
        <w:tab/>
      </w:r>
      <w:r>
        <w:fldChar w:fldCharType="begin"/>
      </w:r>
      <w:r>
        <w:instrText xml:space="preserve"> PAGEREF _Toc23434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63208586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_Toc14598 </w:instrText>
      </w:r>
      <w:r>
        <w:fldChar w:fldCharType="separate"/>
      </w:r>
      <w:r>
        <w:t>6.3 应急预案准备</w:t>
      </w:r>
      <w:r>
        <w:tab/>
      </w:r>
      <w:r>
        <w:fldChar w:fldCharType="begin"/>
      </w:r>
      <w:r>
        <w:instrText xml:space="preserve"> PAGEREF _Toc14598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2F5F1244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_Toc9019 </w:instrText>
      </w:r>
      <w:r>
        <w:fldChar w:fldCharType="separate"/>
      </w:r>
      <w:r>
        <w:t>7. 成功标准与交付物</w:t>
      </w:r>
      <w:r>
        <w:tab/>
      </w:r>
      <w:r>
        <w:fldChar w:fldCharType="begin"/>
      </w:r>
      <w:r>
        <w:instrText xml:space="preserve"> PAGEREF _Toc9019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209D24EF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_Toc15886 </w:instrText>
      </w:r>
      <w:r>
        <w:fldChar w:fldCharType="separate"/>
      </w:r>
      <w:r>
        <w:t>7.1 测试完成标准</w:t>
      </w:r>
      <w:r>
        <w:tab/>
      </w:r>
      <w:r>
        <w:fldChar w:fldCharType="begin"/>
      </w:r>
      <w:r>
        <w:instrText xml:space="preserve"> PAGEREF _Toc15886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660BC6BB">
      <w:pPr>
        <w:pStyle w:val="29"/>
        <w:tabs>
          <w:tab w:val="right" w:leader="dot" w:pos="9072"/>
        </w:tabs>
      </w:pPr>
      <w:r>
        <w:fldChar w:fldCharType="begin"/>
      </w:r>
      <w:r>
        <w:instrText xml:space="preserve"> HYPERLINK \l _Toc31981 </w:instrText>
      </w:r>
      <w:r>
        <w:fldChar w:fldCharType="separate"/>
      </w:r>
      <w:r>
        <w:t>7.2 交付物清单</w:t>
      </w:r>
      <w:r>
        <w:tab/>
      </w:r>
      <w:r>
        <w:fldChar w:fldCharType="begin"/>
      </w:r>
      <w:r>
        <w:instrText xml:space="preserve"> PAGEREF _Toc31981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40CFF121">
      <w:pPr>
        <w:pStyle w:val="26"/>
        <w:tabs>
          <w:tab w:val="right" w:leader="dot" w:pos="9072"/>
        </w:tabs>
      </w:pPr>
      <w:r>
        <w:fldChar w:fldCharType="begin"/>
      </w:r>
      <w:r>
        <w:instrText xml:space="preserve"> HYPERLINK \l _Toc32573 </w:instrText>
      </w:r>
      <w:r>
        <w:fldChar w:fldCharType="separate"/>
      </w:r>
      <w:r>
        <w:t>8. 总结</w:t>
      </w:r>
      <w:r>
        <w:tab/>
      </w:r>
      <w:r>
        <w:fldChar w:fldCharType="begin"/>
      </w:r>
      <w:r>
        <w:instrText xml:space="preserve"> PAGEREF _Toc32573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040408F2">
      <w:pPr>
        <w:ind w:firstLine="0"/>
      </w:pPr>
      <w:r>
        <w:fldChar w:fldCharType="end"/>
      </w:r>
    </w:p>
    <w:p w14:paraId="7728672D">
      <w:r>
        <w:br w:type="page"/>
      </w:r>
    </w:p>
    <w:p w14:paraId="343D1782">
      <w:pPr>
        <w:pStyle w:val="3"/>
      </w:pPr>
      <w:bookmarkStart w:id="0" w:name="_Toc29157"/>
      <w:r>
        <w:t>1. 项目概述</w:t>
      </w:r>
      <w:bookmarkEnd w:id="0"/>
    </w:p>
    <w:p w14:paraId="5437AD8C">
      <w:pPr>
        <w:pStyle w:val="4"/>
      </w:pPr>
      <w:bookmarkStart w:id="1" w:name="_Toc27642"/>
      <w:r>
        <w:t>1.1 业务介绍</w:t>
      </w:r>
      <w:bookmarkEnd w:id="1"/>
    </w:p>
    <w:p w14:paraId="14EC8E19">
      <w:pPr>
        <w:ind w:firstLine="0"/>
      </w:pPr>
      <w:r>
        <w:rPr>
          <w:b/>
        </w:rPr>
        <w:t>业务背景</w:t>
      </w:r>
    </w:p>
    <w:p w14:paraId="3B51CAE0">
      <w:r>
        <w:t>支付宝作为国内领先的第三方支付平台，月活跃用户超8亿，日均交易笔数超10亿笔。支付功能是支付宝生态的核心基石，支撑着线上购物、线下扫码、转账汇款、生活缴费等海量支付场景。随着数字经济发展和用户支付习惯变迁，需要更安全、更便捷、更多元的支付体验来满足用户日益增长的需求。</w:t>
      </w:r>
    </w:p>
    <w:p w14:paraId="6904C247">
      <w:pPr>
        <w:ind w:firstLine="0"/>
      </w:pPr>
      <w:r>
        <w:rPr>
          <w:b/>
        </w:rPr>
        <w:t>业务目标</w:t>
      </w:r>
    </w:p>
    <w:p w14:paraId="6B4F3887">
      <w:pPr>
        <w:ind w:firstLine="0"/>
      </w:pPr>
      <w:r>
        <w:rPr>
          <w:b/>
        </w:rPr>
        <w:t>用户层面：</w:t>
      </w:r>
    </w:p>
    <w:p w14:paraId="031AA35A">
      <w:pPr>
        <w:pStyle w:val="16"/>
        <w:ind w:left="420" w:firstLine="0"/>
      </w:pPr>
      <w:r>
        <w:rPr>
          <w:rFonts w:ascii="Arial" w:hAnsi="Arial" w:eastAsia="宋体"/>
          <w:sz w:val="24"/>
        </w:rPr>
        <w:t>提升支付便捷性，支持扫码、刷脸、免密等多种支付方式</w:t>
      </w:r>
    </w:p>
    <w:p w14:paraId="376B7FBB">
      <w:pPr>
        <w:pStyle w:val="16"/>
        <w:ind w:left="420" w:firstLine="0"/>
      </w:pPr>
      <w:r>
        <w:rPr>
          <w:rFonts w:ascii="Arial" w:hAnsi="Arial" w:eastAsia="宋体"/>
          <w:sz w:val="24"/>
        </w:rPr>
        <w:t>保障资金安全，提供全链路风控和生物识别验证</w:t>
      </w:r>
    </w:p>
    <w:p w14:paraId="60DC45E4">
      <w:pPr>
        <w:pStyle w:val="16"/>
        <w:ind w:left="420" w:firstLine="0"/>
      </w:pPr>
      <w:r>
        <w:rPr>
          <w:rFonts w:ascii="Arial" w:hAnsi="Arial" w:eastAsia="宋体"/>
          <w:sz w:val="24"/>
        </w:rPr>
        <w:t>丰富支付渠道，支持余额、银行卡、花呗、余额宝等多渠道组合支付</w:t>
      </w:r>
    </w:p>
    <w:p w14:paraId="268E8F56">
      <w:pPr>
        <w:ind w:firstLine="0"/>
      </w:pPr>
      <w:r>
        <w:rPr>
          <w:b/>
        </w:rPr>
        <w:t>业务层面：</w:t>
      </w:r>
    </w:p>
    <w:p w14:paraId="664D155A">
      <w:pPr>
        <w:pStyle w:val="16"/>
        <w:ind w:left="420" w:firstLine="0"/>
      </w:pPr>
      <w:r>
        <w:rPr>
          <w:rFonts w:ascii="Arial" w:hAnsi="Arial" w:eastAsia="宋体"/>
          <w:sz w:val="24"/>
        </w:rPr>
        <w:t>提升交易成功率：目标支付成功率≥99.99%</w:t>
      </w:r>
    </w:p>
    <w:p w14:paraId="11E486FE">
      <w:pPr>
        <w:pStyle w:val="16"/>
        <w:ind w:left="420" w:firstLine="0"/>
      </w:pPr>
      <w:r>
        <w:rPr>
          <w:rFonts w:ascii="Arial" w:hAnsi="Arial" w:eastAsia="宋体"/>
          <w:sz w:val="24"/>
        </w:rPr>
        <w:t>增加用户粘性：通过便捷安全的支付体验提升用户留存</w:t>
      </w:r>
    </w:p>
    <w:p w14:paraId="5B8AEB8B">
      <w:pPr>
        <w:pStyle w:val="16"/>
        <w:ind w:left="420" w:firstLine="0"/>
      </w:pPr>
      <w:r>
        <w:rPr>
          <w:rFonts w:ascii="Arial" w:hAnsi="Arial" w:eastAsia="宋体"/>
          <w:sz w:val="24"/>
        </w:rPr>
        <w:t>强化商户覆盖：提升线下商户收款体验，拓展支付场景</w:t>
      </w:r>
    </w:p>
    <w:p w14:paraId="0A1A6FDD">
      <w:pPr>
        <w:ind w:firstLine="0"/>
      </w:pPr>
      <w:r>
        <w:rPr>
          <w:b/>
        </w:rPr>
        <w:t>数据指标：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835"/>
        <w:gridCol w:w="3402"/>
      </w:tblGrid>
      <w:tr w14:paraId="39BF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16308FE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指标维度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EC222B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量化目标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14305C6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度量方式</w:t>
            </w:r>
          </w:p>
        </w:tc>
      </w:tr>
      <w:tr w14:paraId="371BA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020DD39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支付成功率</w:t>
            </w:r>
          </w:p>
        </w:tc>
        <w:tc>
          <w:tcPr>
            <w:tcW w:w="2835" w:type="dxa"/>
            <w:vAlign w:val="center"/>
          </w:tcPr>
          <w:p w14:paraId="232AA35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≥99.99%</w:t>
            </w:r>
          </w:p>
        </w:tc>
        <w:tc>
          <w:tcPr>
            <w:tcW w:w="3402" w:type="dxa"/>
            <w:vAlign w:val="center"/>
          </w:tcPr>
          <w:p w14:paraId="41C985C1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交易系统日志统计</w:t>
            </w:r>
          </w:p>
        </w:tc>
      </w:tr>
      <w:tr w14:paraId="4500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78C3415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支付响应时间</w:t>
            </w:r>
          </w:p>
        </w:tc>
        <w:tc>
          <w:tcPr>
            <w:tcW w:w="2835" w:type="dxa"/>
            <w:vAlign w:val="center"/>
          </w:tcPr>
          <w:p w14:paraId="1A7FA9A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≤500ms（端到端）</w:t>
            </w:r>
          </w:p>
        </w:tc>
        <w:tc>
          <w:tcPr>
            <w:tcW w:w="3402" w:type="dxa"/>
            <w:vAlign w:val="center"/>
          </w:tcPr>
          <w:p w14:paraId="6143F43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全链路Trace监控</w:t>
            </w:r>
          </w:p>
        </w:tc>
      </w:tr>
      <w:tr w14:paraId="594C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127F36D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资损率</w:t>
            </w:r>
          </w:p>
        </w:tc>
        <w:tc>
          <w:tcPr>
            <w:tcW w:w="2835" w:type="dxa"/>
            <w:vAlign w:val="center"/>
          </w:tcPr>
          <w:p w14:paraId="1770E5D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0（零资损）</w:t>
            </w:r>
          </w:p>
        </w:tc>
        <w:tc>
          <w:tcPr>
            <w:tcW w:w="3402" w:type="dxa"/>
            <w:vAlign w:val="center"/>
          </w:tcPr>
          <w:p w14:paraId="5620823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账务对账系统</w:t>
            </w:r>
          </w:p>
        </w:tc>
      </w:tr>
      <w:tr w14:paraId="131C3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566CA9B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用户满意度</w:t>
            </w:r>
          </w:p>
        </w:tc>
        <w:tc>
          <w:tcPr>
            <w:tcW w:w="2835" w:type="dxa"/>
            <w:vAlign w:val="center"/>
          </w:tcPr>
          <w:p w14:paraId="1BB3F81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≥4.6（5分制）</w:t>
            </w:r>
          </w:p>
        </w:tc>
        <w:tc>
          <w:tcPr>
            <w:tcW w:w="3402" w:type="dxa"/>
            <w:vAlign w:val="center"/>
          </w:tcPr>
          <w:p w14:paraId="61F6C459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用户调研问卷</w:t>
            </w:r>
          </w:p>
        </w:tc>
      </w:tr>
      <w:tr w14:paraId="68DF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4FF164C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风控拦截准确率</w:t>
            </w:r>
          </w:p>
        </w:tc>
        <w:tc>
          <w:tcPr>
            <w:tcW w:w="2835" w:type="dxa"/>
            <w:vAlign w:val="center"/>
          </w:tcPr>
          <w:p w14:paraId="5BB54AA5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≥99.5%</w:t>
            </w:r>
          </w:p>
        </w:tc>
        <w:tc>
          <w:tcPr>
            <w:tcW w:w="3402" w:type="dxa"/>
            <w:vAlign w:val="center"/>
          </w:tcPr>
          <w:p w14:paraId="6AAF5FDF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风控系统评估</w:t>
            </w:r>
          </w:p>
        </w:tc>
      </w:tr>
    </w:tbl>
    <w:p w14:paraId="3CA2CA15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表1 核心业务数据指标</w:t>
      </w:r>
    </w:p>
    <w:p w14:paraId="21C10F20">
      <w:pPr>
        <w:ind w:firstLine="0"/>
      </w:pPr>
      <w:r>
        <w:rPr>
          <w:b/>
        </w:rPr>
        <w:t>核心用户场景</w:t>
      </w:r>
    </w:p>
    <w:p w14:paraId="32827D0B">
      <w:pPr>
        <w:pStyle w:val="16"/>
        <w:ind w:left="420" w:firstLine="0"/>
      </w:pPr>
      <w:r>
        <w:rPr>
          <w:rFonts w:ascii="Arial" w:hAnsi="Arial" w:eastAsia="宋体"/>
          <w:sz w:val="24"/>
        </w:rPr>
        <w:t>线下扫码支付 — 便利店/餐饮/商超的日常消费</w:t>
      </w:r>
    </w:p>
    <w:p w14:paraId="7949B7BB">
      <w:pPr>
        <w:pStyle w:val="16"/>
        <w:ind w:left="420" w:firstLine="0"/>
      </w:pPr>
      <w:r>
        <w:rPr>
          <w:rFonts w:ascii="Arial" w:hAnsi="Arial" w:eastAsia="宋体"/>
          <w:sz w:val="24"/>
        </w:rPr>
        <w:t>线上收银台支付 — 电商购物/生活缴费/在线服务</w:t>
      </w:r>
    </w:p>
    <w:p w14:paraId="793F7DA0">
      <w:pPr>
        <w:pStyle w:val="16"/>
        <w:ind w:left="420" w:firstLine="0"/>
      </w:pPr>
      <w:r>
        <w:rPr>
          <w:rFonts w:ascii="Arial" w:hAnsi="Arial" w:eastAsia="宋体"/>
          <w:sz w:val="24"/>
        </w:rPr>
        <w:t>转账汇款 — 好友转账/银行卡转账/AA收款</w:t>
      </w:r>
    </w:p>
    <w:p w14:paraId="4E2D7E80">
      <w:pPr>
        <w:pStyle w:val="16"/>
        <w:ind w:left="420" w:firstLine="0"/>
      </w:pPr>
      <w:r>
        <w:rPr>
          <w:rFonts w:ascii="Arial" w:hAnsi="Arial" w:eastAsia="宋体"/>
          <w:sz w:val="24"/>
        </w:rPr>
        <w:t>退款与账单 — 订单退款/交易查询/月度账单</w:t>
      </w:r>
    </w:p>
    <w:p w14:paraId="729B208B">
      <w:pPr>
        <w:pStyle w:val="4"/>
      </w:pPr>
      <w:bookmarkStart w:id="2" w:name="_Toc10417"/>
      <w:r>
        <w:t>1.2 架构介绍</w:t>
      </w:r>
      <w:bookmarkEnd w:id="2"/>
    </w:p>
    <w:p w14:paraId="01E34816">
      <w:pPr>
        <w:ind w:firstLine="0"/>
      </w:pPr>
      <w:r>
        <w:rPr>
          <w:b/>
        </w:rPr>
        <w:t>系统架构概览</w:t>
      </w:r>
    </w:p>
    <w:p w14:paraId="721D18EE">
      <w:r>
        <w:t>支付宝支付功能采用高可用、高并发的分布式微服务架构，整体分为客户端层、接入层、业务服务层、数据层和外部依赖五个层级。系统架构如图1所示：</w:t>
      </w:r>
    </w:p>
    <w:p w14:paraId="7B7CE15E">
      <w:pPr>
        <w:ind w:firstLine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755640" cy="3092450"/>
            <wp:effectExtent l="0" t="0" r="16510" b="12700"/>
            <wp:docPr id="7" name="图片 7" descr="ScreenShot_2026-08-22_230015_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creenShot_2026-08-22_230015_9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DB612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图1 支付宝支付功能系统架构图</w:t>
      </w:r>
    </w:p>
    <w:p w14:paraId="39184F0C">
      <w:pPr>
        <w:ind w:firstLine="0"/>
      </w:pPr>
      <w:r>
        <w:rPr>
          <w:b/>
        </w:rPr>
        <w:t>核心服务模块</w:t>
      </w:r>
    </w:p>
    <w:p w14:paraId="60CBA9F6">
      <w:pPr>
        <w:pStyle w:val="16"/>
        <w:ind w:left="420" w:firstLine="0"/>
      </w:pPr>
      <w:r>
        <w:rPr>
          <w:rFonts w:ascii="Arial" w:hAnsi="Arial" w:eastAsia="宋体"/>
          <w:sz w:val="24"/>
        </w:rPr>
        <w:t>支付服务：处理交易下单、扣款、支付回调、商户通知</w:t>
      </w:r>
    </w:p>
    <w:p w14:paraId="28F20A64">
      <w:pPr>
        <w:pStyle w:val="16"/>
        <w:ind w:left="420" w:firstLine="0"/>
      </w:pPr>
      <w:r>
        <w:rPr>
          <w:rFonts w:ascii="Arial" w:hAnsi="Arial" w:eastAsia="宋体"/>
          <w:sz w:val="24"/>
        </w:rPr>
        <w:t>账务服务：负责用户记账、账户对账、资金清算</w:t>
      </w:r>
    </w:p>
    <w:p w14:paraId="091CD5D8">
      <w:pPr>
        <w:pStyle w:val="16"/>
        <w:ind w:left="420" w:firstLine="0"/>
      </w:pPr>
      <w:r>
        <w:rPr>
          <w:rFonts w:ascii="Arial" w:hAnsi="Arial" w:eastAsia="宋体"/>
          <w:sz w:val="24"/>
        </w:rPr>
        <w:t>风控服务：实时反欺诈、风险评分、交易拦截</w:t>
      </w:r>
    </w:p>
    <w:p w14:paraId="048764AF">
      <w:pPr>
        <w:pStyle w:val="16"/>
        <w:ind w:left="420" w:firstLine="0"/>
      </w:pPr>
      <w:r>
        <w:rPr>
          <w:rFonts w:ascii="Arial" w:hAnsi="Arial" w:eastAsia="宋体"/>
          <w:sz w:val="24"/>
        </w:rPr>
        <w:t>渠道服务：管理银行/网联/银联渠道路由和适配</w:t>
      </w:r>
    </w:p>
    <w:p w14:paraId="5B069597">
      <w:pPr>
        <w:pStyle w:val="16"/>
        <w:ind w:left="420" w:firstLine="0"/>
      </w:pPr>
      <w:r>
        <w:rPr>
          <w:rFonts w:ascii="Arial" w:hAnsi="Arial" w:eastAsia="宋体"/>
          <w:sz w:val="24"/>
        </w:rPr>
        <w:t>退款服务：处理原路退回、退款状态跟踪</w:t>
      </w:r>
    </w:p>
    <w:p w14:paraId="7A7E48BA">
      <w:pPr>
        <w:ind w:firstLine="0"/>
      </w:pPr>
      <w:r>
        <w:rPr>
          <w:b/>
        </w:rPr>
        <w:t>外部依赖</w:t>
      </w:r>
    </w:p>
    <w:p w14:paraId="10711FBC">
      <w:pPr>
        <w:pStyle w:val="16"/>
        <w:ind w:left="420" w:firstLine="0"/>
      </w:pPr>
      <w:r>
        <w:rPr>
          <w:rFonts w:ascii="Arial" w:hAnsi="Arial" w:eastAsia="宋体"/>
          <w:sz w:val="24"/>
        </w:rPr>
        <w:t>银行渠道：工行、建行、招行等主流银行（SLA: 99.95%）</w:t>
      </w:r>
    </w:p>
    <w:p w14:paraId="630156B1">
      <w:pPr>
        <w:pStyle w:val="16"/>
        <w:ind w:left="420" w:firstLine="0"/>
      </w:pPr>
      <w:r>
        <w:rPr>
          <w:rFonts w:ascii="Arial" w:hAnsi="Arial" w:eastAsia="宋体"/>
          <w:sz w:val="24"/>
        </w:rPr>
        <w:t>网联/银联：跨行交易清算通道</w:t>
      </w:r>
    </w:p>
    <w:p w14:paraId="323AFE5B">
      <w:pPr>
        <w:pStyle w:val="16"/>
        <w:ind w:left="420" w:firstLine="0"/>
      </w:pPr>
      <w:r>
        <w:rPr>
          <w:rFonts w:ascii="Arial" w:hAnsi="Arial" w:eastAsia="宋体"/>
          <w:sz w:val="24"/>
        </w:rPr>
        <w:t>生物识别：指纹识别、面容识别服务</w:t>
      </w:r>
    </w:p>
    <w:p w14:paraId="5D0C4509">
      <w:pPr>
        <w:pStyle w:val="16"/>
        <w:ind w:left="420" w:firstLine="0"/>
      </w:pPr>
      <w:r>
        <w:rPr>
          <w:rFonts w:ascii="Arial" w:hAnsi="Arial" w:eastAsia="宋体"/>
          <w:sz w:val="24"/>
        </w:rPr>
        <w:t>短信服务：支付验证短信、交易通知</w:t>
      </w:r>
    </w:p>
    <w:p w14:paraId="0D39E19F">
      <w:pPr>
        <w:ind w:firstLine="0"/>
      </w:pPr>
      <w:r>
        <w:rPr>
          <w:b/>
        </w:rPr>
        <w:t>技术栈</w:t>
      </w:r>
    </w:p>
    <w:p w14:paraId="23A52BE0">
      <w:pPr>
        <w:pStyle w:val="16"/>
        <w:ind w:left="420" w:firstLine="0"/>
      </w:pPr>
      <w:r>
        <w:rPr>
          <w:rFonts w:ascii="Arial" w:hAnsi="Arial" w:eastAsia="宋体"/>
          <w:sz w:val="24"/>
        </w:rPr>
        <w:t>客户端：Swift(iOS) + Kotlin(Android) + 小程序</w:t>
      </w:r>
    </w:p>
    <w:p w14:paraId="46506770">
      <w:pPr>
        <w:pStyle w:val="16"/>
        <w:ind w:left="420" w:firstLine="0"/>
      </w:pPr>
      <w:r>
        <w:rPr>
          <w:rFonts w:ascii="Arial" w:hAnsi="Arial" w:eastAsia="宋体"/>
          <w:sz w:val="24"/>
        </w:rPr>
        <w:t>服务端：Java/Go + OceanBase + Redis + RocketMQ</w:t>
      </w:r>
    </w:p>
    <w:p w14:paraId="6C3C31D5">
      <w:pPr>
        <w:pStyle w:val="16"/>
        <w:ind w:left="420" w:firstLine="0"/>
      </w:pPr>
      <w:r>
        <w:rPr>
          <w:rFonts w:ascii="Arial" w:hAnsi="Arial" w:eastAsia="宋体"/>
          <w:sz w:val="24"/>
        </w:rPr>
        <w:t>基础设施：Docker + Kubernetes + 阿里云</w:t>
      </w:r>
    </w:p>
    <w:p w14:paraId="0D46C94D">
      <w:pPr>
        <w:pStyle w:val="4"/>
      </w:pPr>
      <w:bookmarkStart w:id="3" w:name="_Toc20887"/>
      <w:r>
        <w:t>1.3 功能简介</w:t>
      </w:r>
      <w:bookmarkEnd w:id="3"/>
    </w:p>
    <w:p w14:paraId="35DFEE51">
      <w:r>
        <w:t>本次测试针对支付宝v1.2版本支付功能迭代，核心功能包括：</w:t>
      </w:r>
    </w:p>
    <w:p w14:paraId="013BEB85">
      <w:pPr>
        <w:pStyle w:val="16"/>
        <w:ind w:left="420" w:firstLine="0"/>
      </w:pPr>
      <w:r>
        <w:rPr>
          <w:rFonts w:ascii="Arial" w:hAnsi="Arial" w:eastAsia="宋体"/>
          <w:sz w:val="24"/>
        </w:rPr>
        <w:t>扫码支付：支持付款码（被扫）和收款码（主扫）两种模式</w:t>
      </w:r>
    </w:p>
    <w:p w14:paraId="7B80C277">
      <w:pPr>
        <w:pStyle w:val="16"/>
        <w:ind w:left="420" w:firstLine="0"/>
      </w:pPr>
      <w:r>
        <w:rPr>
          <w:rFonts w:ascii="Arial" w:hAnsi="Arial" w:eastAsia="宋体"/>
          <w:sz w:val="24"/>
        </w:rPr>
        <w:t>多渠道支付：支持余额、储蓄卡、信用卡、花呗、余额宝组合支付</w:t>
      </w:r>
    </w:p>
    <w:p w14:paraId="6246708B">
      <w:pPr>
        <w:pStyle w:val="16"/>
        <w:ind w:left="420" w:firstLine="0"/>
      </w:pPr>
      <w:r>
        <w:rPr>
          <w:rFonts w:ascii="Arial" w:hAnsi="Arial" w:eastAsia="宋体"/>
          <w:sz w:val="24"/>
        </w:rPr>
        <w:t>转账功能：支持好友转账、银行卡转账、手机号转账</w:t>
      </w:r>
    </w:p>
    <w:p w14:paraId="3028A022">
      <w:pPr>
        <w:pStyle w:val="16"/>
        <w:ind w:left="420" w:firstLine="0"/>
      </w:pPr>
      <w:r>
        <w:rPr>
          <w:rFonts w:ascii="Arial" w:hAnsi="Arial" w:eastAsia="宋体"/>
          <w:sz w:val="24"/>
        </w:rPr>
        <w:t>退款功能：支持全额退款、部分退款、原路退回</w:t>
      </w:r>
    </w:p>
    <w:p w14:paraId="19299621">
      <w:pPr>
        <w:pStyle w:val="16"/>
        <w:ind w:left="420" w:firstLine="0"/>
      </w:pPr>
      <w:r>
        <w:rPr>
          <w:rFonts w:ascii="Arial" w:hAnsi="Arial" w:eastAsia="宋体"/>
          <w:sz w:val="24"/>
        </w:rPr>
        <w:t>生物识别支付：支持指纹支付、面容支付、免密支付</w:t>
      </w:r>
    </w:p>
    <w:p w14:paraId="3C907FBA">
      <w:pPr>
        <w:pStyle w:val="16"/>
        <w:ind w:left="420" w:firstLine="0"/>
      </w:pPr>
      <w:r>
        <w:rPr>
          <w:rFonts w:ascii="Arial" w:hAnsi="Arial" w:eastAsia="宋体"/>
          <w:sz w:val="24"/>
        </w:rPr>
        <w:t>账单与查询：支持交易明细查询、月度账单、电子凭证</w:t>
      </w:r>
    </w:p>
    <w:p w14:paraId="15DE7FFA">
      <w:pPr>
        <w:pStyle w:val="4"/>
      </w:pPr>
      <w:bookmarkStart w:id="4" w:name="_Toc23030"/>
      <w:r>
        <w:t>1.4 测试背景与目标</w:t>
      </w:r>
      <w:bookmarkEnd w:id="4"/>
    </w:p>
    <w:p w14:paraId="2E62F397">
      <w:pPr>
        <w:ind w:firstLine="0"/>
      </w:pPr>
      <w:r>
        <w:rPr>
          <w:b/>
        </w:rPr>
        <w:t>测试背景：</w:t>
      </w:r>
    </w:p>
    <w:p w14:paraId="271B067A">
      <w:pPr>
        <w:pStyle w:val="16"/>
        <w:ind w:left="420" w:firstLine="0"/>
      </w:pPr>
      <w:r>
        <w:rPr>
          <w:rFonts w:ascii="Arial" w:hAnsi="Arial" w:eastAsia="宋体"/>
          <w:sz w:val="24"/>
        </w:rPr>
        <w:t>版本：v1.2（支付功能核心迭代）</w:t>
      </w:r>
    </w:p>
    <w:p w14:paraId="39FE65E6">
      <w:pPr>
        <w:pStyle w:val="16"/>
        <w:ind w:left="420" w:firstLine="0"/>
      </w:pPr>
      <w:r>
        <w:rPr>
          <w:rFonts w:ascii="Arial" w:hAnsi="Arial" w:eastAsia="宋体"/>
          <w:sz w:val="24"/>
        </w:rPr>
        <w:t>开发周期：2周敏捷开发</w:t>
      </w:r>
    </w:p>
    <w:p w14:paraId="6BEABE94">
      <w:pPr>
        <w:pStyle w:val="16"/>
        <w:ind w:left="420" w:firstLine="0"/>
      </w:pPr>
      <w:r>
        <w:rPr>
          <w:rFonts w:ascii="Arial" w:hAnsi="Arial" w:eastAsia="宋体"/>
          <w:sz w:val="24"/>
        </w:rPr>
        <w:t>上线时间：2025年10月27日</w:t>
      </w:r>
    </w:p>
    <w:p w14:paraId="3E264471">
      <w:pPr>
        <w:pStyle w:val="16"/>
        <w:ind w:left="420" w:firstLine="0"/>
      </w:pPr>
      <w:r>
        <w:rPr>
          <w:rFonts w:ascii="Arial" w:hAnsi="Arial" w:eastAsia="宋体"/>
          <w:sz w:val="24"/>
        </w:rPr>
        <w:t>测试周期：10月13日-10月26日（10个工作日）</w:t>
      </w:r>
    </w:p>
    <w:p w14:paraId="07C9725D">
      <w:pPr>
        <w:ind w:firstLine="0"/>
      </w:pPr>
      <w:r>
        <w:rPr>
          <w:b/>
        </w:rPr>
        <w:t>测试目标：</w:t>
      </w:r>
    </w:p>
    <w:p w14:paraId="6FF488F4">
      <w:pPr>
        <w:pStyle w:val="16"/>
        <w:ind w:left="420" w:firstLine="0"/>
      </w:pPr>
      <w:r>
        <w:rPr>
          <w:rFonts w:ascii="Arial" w:hAnsi="Arial" w:eastAsia="宋体"/>
          <w:sz w:val="24"/>
        </w:rPr>
        <w:t>保障支付功能零资损上线，无P0/P1阻塞bug</w:t>
      </w:r>
    </w:p>
    <w:p w14:paraId="3BA8BABD">
      <w:pPr>
        <w:pStyle w:val="16"/>
        <w:ind w:left="420" w:firstLine="0"/>
      </w:pPr>
      <w:r>
        <w:rPr>
          <w:rFonts w:ascii="Arial" w:hAnsi="Arial" w:eastAsia="宋体"/>
          <w:sz w:val="24"/>
        </w:rPr>
        <w:t>验证高并发性能，双11峰值TPS达标</w:t>
      </w:r>
    </w:p>
    <w:p w14:paraId="328F3745">
      <w:pPr>
        <w:pStyle w:val="16"/>
        <w:ind w:left="420" w:firstLine="0"/>
      </w:pPr>
      <w:r>
        <w:rPr>
          <w:rFonts w:ascii="Arial" w:hAnsi="Arial" w:eastAsia="宋体"/>
          <w:sz w:val="24"/>
        </w:rPr>
        <w:t>确保资金安全和交易一致性，账务对账零差异</w:t>
      </w:r>
    </w:p>
    <w:p w14:paraId="3ABD78D1">
      <w:pPr>
        <w:pStyle w:val="16"/>
        <w:ind w:left="420" w:firstLine="0"/>
      </w:pPr>
      <w:r>
        <w:rPr>
          <w:rFonts w:ascii="Arial" w:hAnsi="Arial" w:eastAsia="宋体"/>
          <w:sz w:val="24"/>
        </w:rPr>
        <w:t>兼容主流设备和渠道，提供一致的支付体验</w:t>
      </w:r>
    </w:p>
    <w:p w14:paraId="5C1A490C">
      <w:r>
        <w:br w:type="page"/>
      </w:r>
    </w:p>
    <w:p w14:paraId="6A60A6E4">
      <w:pPr>
        <w:pStyle w:val="3"/>
      </w:pPr>
      <w:bookmarkStart w:id="5" w:name="_Toc5909"/>
      <w:r>
        <w:t>2. 诊断与分析</w:t>
      </w:r>
      <w:bookmarkEnd w:id="5"/>
    </w:p>
    <w:p w14:paraId="0ED69105">
      <w:pPr>
        <w:pStyle w:val="4"/>
      </w:pPr>
      <w:bookmarkStart w:id="6" w:name="_Toc32434"/>
      <w:r>
        <w:t>2.1 5W2H分析</w:t>
      </w:r>
      <w:bookmarkEnd w:id="6"/>
    </w:p>
    <w:p w14:paraId="308CF5C2">
      <w:r>
        <w:t>采用5W2H分析法对本次测试任务进行全方位拆解：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7087"/>
      </w:tblGrid>
      <w:tr w14:paraId="7EBE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17" w:type="dxa"/>
            <w:shd w:val="clear" w:color="auto" w:fill="D9D9D9"/>
            <w:vAlign w:val="center"/>
          </w:tcPr>
          <w:p w14:paraId="24A6A93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维度</w:t>
            </w:r>
          </w:p>
        </w:tc>
        <w:tc>
          <w:tcPr>
            <w:tcW w:w="7087" w:type="dxa"/>
            <w:shd w:val="clear" w:color="auto" w:fill="D9D9D9"/>
            <w:vAlign w:val="center"/>
          </w:tcPr>
          <w:p w14:paraId="0E67A86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分析结果</w:t>
            </w:r>
          </w:p>
        </w:tc>
      </w:tr>
      <w:tr w14:paraId="35597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4F8EC429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WHAT</w:t>
            </w:r>
          </w:p>
        </w:tc>
        <w:tc>
          <w:tcPr>
            <w:tcW w:w="7087" w:type="dxa"/>
            <w:vAlign w:val="center"/>
          </w:tcPr>
          <w:p w14:paraId="72448DD4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测试扫码支付、转账、多渠道支付、退款、生物识别等核心流程，含异常处理和对账验证</w:t>
            </w:r>
          </w:p>
        </w:tc>
      </w:tr>
      <w:tr w14:paraId="2523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78CA7C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WHY</w:t>
            </w:r>
          </w:p>
        </w:tc>
        <w:tc>
          <w:tcPr>
            <w:tcW w:w="7087" w:type="dxa"/>
            <w:vAlign w:val="center"/>
          </w:tcPr>
          <w:p w14:paraId="6A731DD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支付功能是支付宝核心基石，任何资金安全问题都可能造成巨大损失和品牌影响</w:t>
            </w:r>
          </w:p>
        </w:tc>
      </w:tr>
      <w:tr w14:paraId="7408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7D3F290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WHO</w:t>
            </w:r>
          </w:p>
        </w:tc>
        <w:tc>
          <w:tcPr>
            <w:tcW w:w="7087" w:type="dxa"/>
            <w:vAlign w:val="center"/>
          </w:tcPr>
          <w:p w14:paraId="23C0232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测试团队：2名功能测试，1名专项测试；依赖：3名开发，1名产品，1名风控专家</w:t>
            </w:r>
          </w:p>
        </w:tc>
      </w:tr>
      <w:tr w14:paraId="0813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F5F3A49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WHEN</w:t>
            </w:r>
          </w:p>
        </w:tc>
        <w:tc>
          <w:tcPr>
            <w:tcW w:w="7087" w:type="dxa"/>
            <w:vAlign w:val="center"/>
          </w:tcPr>
          <w:p w14:paraId="7B71A421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10.13-10.26进行系统测试，10.27上线后持续监控</w:t>
            </w:r>
          </w:p>
        </w:tc>
      </w:tr>
      <w:tr w14:paraId="7F23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2CE9473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WHERE</w:t>
            </w:r>
          </w:p>
        </w:tc>
        <w:tc>
          <w:tcPr>
            <w:tcW w:w="7087" w:type="dxa"/>
            <w:vAlign w:val="center"/>
          </w:tcPr>
          <w:p w14:paraId="70890A4F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iOS/Android/小程序客户端，测试环境→预发环境→生产灰度→全量</w:t>
            </w:r>
          </w:p>
        </w:tc>
      </w:tr>
      <w:tr w14:paraId="5628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4D487E6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HOW</w:t>
            </w:r>
          </w:p>
        </w:tc>
        <w:tc>
          <w:tcPr>
            <w:tcW w:w="7087" w:type="dxa"/>
            <w:vAlign w:val="center"/>
          </w:tcPr>
          <w:p w14:paraId="5269FD96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功能测试+兼容性测试+性能压测+安全渗透+账务对账组合策略</w:t>
            </w:r>
          </w:p>
        </w:tc>
      </w:tr>
      <w:tr w14:paraId="2FB2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1A27B60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HOW MUCH</w:t>
            </w:r>
          </w:p>
        </w:tc>
        <w:tc>
          <w:tcPr>
            <w:tcW w:w="7087" w:type="dxa"/>
            <w:vAlign w:val="center"/>
          </w:tcPr>
          <w:p w14:paraId="275F35AB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投入3人×10天，目标零P0/P1缺陷、零资损上线</w:t>
            </w:r>
          </w:p>
        </w:tc>
      </w:tr>
    </w:tbl>
    <w:p w14:paraId="067FD7C3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表2 5W2H分析表</w:t>
      </w:r>
    </w:p>
    <w:p w14:paraId="6FCDC971">
      <w:pPr>
        <w:pStyle w:val="4"/>
      </w:pPr>
      <w:bookmarkStart w:id="7" w:name="_Toc17886"/>
      <w:r>
        <w:t>2.2 SWOT分析</w:t>
      </w:r>
      <w:bookmarkEnd w:id="7"/>
    </w:p>
    <w:p w14:paraId="60DAC5D9">
      <w:r>
        <w:t>基于项目内外部环境进行SWOT分析：</w:t>
      </w:r>
    </w:p>
    <w:p w14:paraId="1234548D">
      <w:pPr>
        <w:ind w:firstLine="0"/>
        <w:jc w:val="center"/>
      </w:pPr>
      <w:r>
        <w:drawing>
          <wp:inline distT="0" distB="0" distL="114300" distR="114300">
            <wp:extent cx="5039995" cy="4036060"/>
            <wp:effectExtent l="0" t="0" r="825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3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16EC3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图2 SWOT分析四象限图</w:t>
      </w:r>
    </w:p>
    <w:p w14:paraId="6C6B876E">
      <w:pPr>
        <w:ind w:firstLine="0"/>
      </w:pPr>
      <w:r>
        <w:rPr>
          <w:b/>
        </w:rPr>
        <w:t>优势(S)：</w:t>
      </w:r>
    </w:p>
    <w:p w14:paraId="4BBC821A">
      <w:pPr>
        <w:pStyle w:val="16"/>
        <w:ind w:left="420" w:firstLine="0"/>
      </w:pPr>
      <w:r>
        <w:rPr>
          <w:rFonts w:ascii="Arial" w:hAnsi="Arial" w:eastAsia="宋体"/>
          <w:sz w:val="24"/>
        </w:rPr>
        <w:t>支付场景覆盖全面，业务理解深入</w:t>
      </w:r>
    </w:p>
    <w:p w14:paraId="1D80597C">
      <w:pPr>
        <w:pStyle w:val="16"/>
        <w:ind w:left="420" w:firstLine="0"/>
      </w:pPr>
      <w:r>
        <w:rPr>
          <w:rFonts w:ascii="Arial" w:hAnsi="Arial" w:eastAsia="宋体"/>
          <w:sz w:val="24"/>
        </w:rPr>
        <w:t>高并发架构测试经验丰富</w:t>
      </w:r>
    </w:p>
    <w:p w14:paraId="05C9B01D">
      <w:pPr>
        <w:pStyle w:val="16"/>
        <w:ind w:left="420" w:firstLine="0"/>
      </w:pPr>
      <w:r>
        <w:rPr>
          <w:rFonts w:ascii="Arial" w:hAnsi="Arial" w:eastAsia="宋体"/>
          <w:sz w:val="24"/>
        </w:rPr>
        <w:t>现有自动化回归体系成熟</w:t>
      </w:r>
    </w:p>
    <w:p w14:paraId="618EF996">
      <w:pPr>
        <w:pStyle w:val="16"/>
        <w:ind w:left="420" w:firstLine="0"/>
      </w:pPr>
      <w:r>
        <w:rPr>
          <w:rFonts w:ascii="Arial" w:hAnsi="Arial" w:eastAsia="宋体"/>
          <w:sz w:val="24"/>
        </w:rPr>
        <w:t>风控测试能力行业领先</w:t>
      </w:r>
    </w:p>
    <w:p w14:paraId="1766131C">
      <w:pPr>
        <w:ind w:firstLine="0"/>
      </w:pPr>
      <w:r>
        <w:rPr>
          <w:b/>
        </w:rPr>
        <w:t>劣势(W)：</w:t>
      </w:r>
    </w:p>
    <w:p w14:paraId="0C4D3DDA">
      <w:pPr>
        <w:pStyle w:val="16"/>
        <w:ind w:left="420" w:firstLine="0"/>
      </w:pPr>
      <w:r>
        <w:rPr>
          <w:rFonts w:ascii="Arial" w:hAnsi="Arial" w:eastAsia="宋体"/>
          <w:sz w:val="24"/>
        </w:rPr>
        <w:t>银行渠道联调测试依赖外部，可控性差</w:t>
      </w:r>
    </w:p>
    <w:p w14:paraId="2B10042E">
      <w:pPr>
        <w:pStyle w:val="16"/>
        <w:ind w:left="420" w:firstLine="0"/>
      </w:pPr>
      <w:r>
        <w:rPr>
          <w:rFonts w:ascii="Arial" w:hAnsi="Arial" w:eastAsia="宋体"/>
          <w:sz w:val="24"/>
        </w:rPr>
        <w:t>生物识别测试设备覆盖不足</w:t>
      </w:r>
    </w:p>
    <w:p w14:paraId="5F81955D">
      <w:pPr>
        <w:pStyle w:val="16"/>
        <w:ind w:left="420" w:firstLine="0"/>
      </w:pPr>
      <w:r>
        <w:rPr>
          <w:rFonts w:ascii="Arial" w:hAnsi="Arial" w:eastAsia="宋体"/>
          <w:sz w:val="24"/>
        </w:rPr>
        <w:t>跨境支付测试场景经验少</w:t>
      </w:r>
    </w:p>
    <w:p w14:paraId="2354A600">
      <w:pPr>
        <w:pStyle w:val="16"/>
        <w:ind w:left="420" w:firstLine="0"/>
      </w:pPr>
      <w:r>
        <w:rPr>
          <w:rFonts w:ascii="Arial" w:hAnsi="Arial" w:eastAsia="宋体"/>
          <w:sz w:val="24"/>
        </w:rPr>
        <w:t>硬件POS设备兼容性测试难度大</w:t>
      </w:r>
    </w:p>
    <w:p w14:paraId="2B8D6E10">
      <w:pPr>
        <w:ind w:firstLine="0"/>
      </w:pPr>
      <w:r>
        <w:rPr>
          <w:b/>
        </w:rPr>
        <w:t>机会(O)：</w:t>
      </w:r>
    </w:p>
    <w:p w14:paraId="4ABB49DA">
      <w:pPr>
        <w:pStyle w:val="16"/>
        <w:ind w:left="420" w:firstLine="0"/>
      </w:pPr>
      <w:r>
        <w:rPr>
          <w:rFonts w:ascii="Arial" w:hAnsi="Arial" w:eastAsia="宋体"/>
          <w:sz w:val="24"/>
        </w:rPr>
        <w:t>数字人民币推广带来新测试场景</w:t>
      </w:r>
    </w:p>
    <w:p w14:paraId="35168BCF">
      <w:pPr>
        <w:pStyle w:val="16"/>
        <w:ind w:left="420" w:firstLine="0"/>
      </w:pPr>
      <w:r>
        <w:rPr>
          <w:rFonts w:ascii="Arial" w:hAnsi="Arial" w:eastAsia="宋体"/>
          <w:sz w:val="24"/>
        </w:rPr>
        <w:t>AI风控模型可赋能测试提效</w:t>
      </w:r>
    </w:p>
    <w:p w14:paraId="0E5238DD">
      <w:pPr>
        <w:pStyle w:val="16"/>
        <w:ind w:left="420" w:firstLine="0"/>
      </w:pPr>
      <w:r>
        <w:rPr>
          <w:rFonts w:ascii="Arial" w:hAnsi="Arial" w:eastAsia="宋体"/>
          <w:sz w:val="24"/>
        </w:rPr>
        <w:t>云真机平台补充设备覆盖</w:t>
      </w:r>
    </w:p>
    <w:p w14:paraId="54B33466">
      <w:pPr>
        <w:pStyle w:val="16"/>
        <w:ind w:left="420" w:firstLine="0"/>
      </w:pPr>
      <w:r>
        <w:rPr>
          <w:rFonts w:ascii="Arial" w:hAnsi="Arial" w:eastAsia="宋体"/>
          <w:sz w:val="24"/>
        </w:rPr>
        <w:t>混沌工程提升稳定性验证深度</w:t>
      </w:r>
    </w:p>
    <w:p w14:paraId="3AAB12FD">
      <w:pPr>
        <w:ind w:firstLine="0"/>
      </w:pPr>
      <w:r>
        <w:rPr>
          <w:b/>
        </w:rPr>
        <w:t>威胁(T)：</w:t>
      </w:r>
    </w:p>
    <w:p w14:paraId="46004C91">
      <w:pPr>
        <w:pStyle w:val="16"/>
        <w:ind w:left="420" w:firstLine="0"/>
      </w:pPr>
      <w:r>
        <w:rPr>
          <w:rFonts w:ascii="Arial" w:hAnsi="Arial" w:eastAsia="宋体"/>
          <w:sz w:val="24"/>
        </w:rPr>
        <w:t>银行渠道SLA不稳定影响测试进度</w:t>
      </w:r>
    </w:p>
    <w:p w14:paraId="6FD90BE4">
      <w:pPr>
        <w:pStyle w:val="16"/>
        <w:ind w:left="420" w:firstLine="0"/>
      </w:pPr>
      <w:r>
        <w:rPr>
          <w:rFonts w:ascii="Arial" w:hAnsi="Arial" w:eastAsia="宋体"/>
          <w:sz w:val="24"/>
        </w:rPr>
        <w:t>监管合规要求日趋严格</w:t>
      </w:r>
    </w:p>
    <w:p w14:paraId="69E01F78">
      <w:pPr>
        <w:pStyle w:val="16"/>
        <w:ind w:left="420" w:firstLine="0"/>
      </w:pPr>
      <w:r>
        <w:rPr>
          <w:rFonts w:ascii="Arial" w:hAnsi="Arial" w:eastAsia="宋体"/>
          <w:sz w:val="24"/>
        </w:rPr>
        <w:t>支付安全攻防对抗持续升级</w:t>
      </w:r>
    </w:p>
    <w:p w14:paraId="1B4F83AC">
      <w:pPr>
        <w:pStyle w:val="16"/>
        <w:ind w:left="420" w:firstLine="0"/>
      </w:pPr>
      <w:r>
        <w:rPr>
          <w:rFonts w:ascii="Arial" w:hAnsi="Arial" w:eastAsia="宋体"/>
          <w:sz w:val="24"/>
        </w:rPr>
        <w:t>竞品（微信支付）体验持续优化</w:t>
      </w:r>
    </w:p>
    <w:p w14:paraId="21E0B539">
      <w:pPr>
        <w:pStyle w:val="4"/>
      </w:pPr>
      <w:bookmarkStart w:id="8" w:name="_Toc9603"/>
      <w:r>
        <w:t>2.3 质量挑战识别</w:t>
      </w:r>
      <w:bookmarkEnd w:id="8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4252"/>
      </w:tblGrid>
      <w:tr w14:paraId="291B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D9D9D9"/>
            <w:vAlign w:val="center"/>
          </w:tcPr>
          <w:p w14:paraId="6C50FD2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挑战维度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229EBA8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具体描述</w:t>
            </w:r>
          </w:p>
        </w:tc>
        <w:tc>
          <w:tcPr>
            <w:tcW w:w="4252" w:type="dxa"/>
            <w:shd w:val="clear" w:color="auto" w:fill="D9D9D9"/>
            <w:vAlign w:val="center"/>
          </w:tcPr>
          <w:p w14:paraId="27A41B4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测试关注点</w:t>
            </w:r>
          </w:p>
        </w:tc>
      </w:tr>
      <w:tr w14:paraId="2D7E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73ED8F3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资金安全</w:t>
            </w:r>
          </w:p>
        </w:tc>
        <w:tc>
          <w:tcPr>
            <w:tcW w:w="2835" w:type="dxa"/>
            <w:vAlign w:val="center"/>
          </w:tcPr>
          <w:p w14:paraId="1C8DB280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支付涉及真实资金，零容错要求</w:t>
            </w:r>
          </w:p>
        </w:tc>
        <w:tc>
          <w:tcPr>
            <w:tcW w:w="4252" w:type="dxa"/>
            <w:vAlign w:val="center"/>
          </w:tcPr>
          <w:p w14:paraId="2786704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扣款一致性、退款准确性、对账零差异、防重复扣款</w:t>
            </w:r>
          </w:p>
        </w:tc>
      </w:tr>
      <w:tr w14:paraId="73F9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73E1174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高并发</w:t>
            </w:r>
          </w:p>
        </w:tc>
        <w:tc>
          <w:tcPr>
            <w:tcW w:w="2835" w:type="dxa"/>
            <w:vAlign w:val="center"/>
          </w:tcPr>
          <w:p w14:paraId="3C736B6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双11峰值TPS超50万，系统压力巨大</w:t>
            </w:r>
          </w:p>
        </w:tc>
        <w:tc>
          <w:tcPr>
            <w:tcW w:w="4252" w:type="dxa"/>
            <w:vAlign w:val="center"/>
          </w:tcPr>
          <w:p w14:paraId="731A56A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峰值压测、限流降级、数据库性能、消息队列积压</w:t>
            </w:r>
          </w:p>
        </w:tc>
      </w:tr>
      <w:tr w14:paraId="6C3F1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19EA46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多渠道兼容</w:t>
            </w:r>
          </w:p>
        </w:tc>
        <w:tc>
          <w:tcPr>
            <w:tcW w:w="2835" w:type="dxa"/>
            <w:vAlign w:val="center"/>
          </w:tcPr>
          <w:p w14:paraId="5DDC15A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余额/银行卡/花呗/余额宝等多渠道组合</w:t>
            </w:r>
          </w:p>
        </w:tc>
        <w:tc>
          <w:tcPr>
            <w:tcW w:w="4252" w:type="dxa"/>
            <w:vAlign w:val="center"/>
          </w:tcPr>
          <w:p w14:paraId="29CBA3B6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渠道切换、组合支付、渠道异常降级、限额处理</w:t>
            </w:r>
          </w:p>
        </w:tc>
      </w:tr>
      <w:tr w14:paraId="537D8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7034601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交易一致性</w:t>
            </w:r>
          </w:p>
        </w:tc>
        <w:tc>
          <w:tcPr>
            <w:tcW w:w="2835" w:type="dxa"/>
            <w:vAlign w:val="center"/>
          </w:tcPr>
          <w:p w14:paraId="23DDD6CE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分布式事务跨多服务，需保证最终一致</w:t>
            </w:r>
          </w:p>
        </w:tc>
        <w:tc>
          <w:tcPr>
            <w:tcW w:w="4252" w:type="dxa"/>
            <w:vAlign w:val="center"/>
          </w:tcPr>
          <w:p w14:paraId="26C4EB6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超时处理、幂等性、回调重复、异步通知可靠性</w:t>
            </w:r>
          </w:p>
        </w:tc>
      </w:tr>
      <w:tr w14:paraId="56D4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3C0DDD4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网络异常</w:t>
            </w:r>
          </w:p>
        </w:tc>
        <w:tc>
          <w:tcPr>
            <w:tcW w:w="2835" w:type="dxa"/>
            <w:vAlign w:val="center"/>
          </w:tcPr>
          <w:p w14:paraId="3DE67EE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移动网络不稳定，支付中断频发</w:t>
            </w:r>
          </w:p>
        </w:tc>
        <w:tc>
          <w:tcPr>
            <w:tcW w:w="4252" w:type="dxa"/>
            <w:vAlign w:val="center"/>
          </w:tcPr>
          <w:p w14:paraId="5C0E80B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弱网支付、断网恢复、重复提交、支付结果查询</w:t>
            </w:r>
          </w:p>
        </w:tc>
      </w:tr>
      <w:tr w14:paraId="1B0F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E30B03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监管合规</w:t>
            </w:r>
          </w:p>
        </w:tc>
        <w:tc>
          <w:tcPr>
            <w:tcW w:w="2835" w:type="dxa"/>
            <w:vAlign w:val="center"/>
          </w:tcPr>
          <w:p w14:paraId="2993112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支付业务受央行/网联严格监管</w:t>
            </w:r>
          </w:p>
        </w:tc>
        <w:tc>
          <w:tcPr>
            <w:tcW w:w="4252" w:type="dxa"/>
            <w:vAlign w:val="center"/>
          </w:tcPr>
          <w:p w14:paraId="77CFC903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反洗钱、实名认证、限额管控、交易留痕、数据安全</w:t>
            </w:r>
          </w:p>
        </w:tc>
      </w:tr>
    </w:tbl>
    <w:p w14:paraId="17199A7B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表3 质量挑战识别表</w:t>
      </w:r>
    </w:p>
    <w:p w14:paraId="45B6AEB1">
      <w:r>
        <w:br w:type="page"/>
      </w:r>
    </w:p>
    <w:p w14:paraId="65C50F17">
      <w:pPr>
        <w:pStyle w:val="3"/>
      </w:pPr>
      <w:bookmarkStart w:id="9" w:name="_Toc6534"/>
      <w:r>
        <w:t>3. 测试策略</w:t>
      </w:r>
      <w:bookmarkEnd w:id="9"/>
    </w:p>
    <w:p w14:paraId="0094C523">
      <w:r>
        <w:t>本次测试采用"功能+兼容性+性能+安全"四位一体策略，各测试类型在不同阶段的执行重点如图3所示：</w:t>
      </w:r>
    </w:p>
    <w:p w14:paraId="597FCE03">
      <w:pPr>
        <w:ind w:firstLine="0"/>
        <w:jc w:val="center"/>
      </w:pPr>
      <w:r>
        <w:drawing>
          <wp:inline distT="0" distB="0" distL="114300" distR="114300">
            <wp:extent cx="5219700" cy="28486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84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CEE44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图3 测试策略矩阵——测试类型×测试阶段</w:t>
      </w:r>
    </w:p>
    <w:p w14:paraId="3462E976">
      <w:pPr>
        <w:pStyle w:val="4"/>
      </w:pPr>
      <w:bookmarkStart w:id="10" w:name="_Toc11608"/>
      <w:r>
        <w:t>3.1 功能测试策略</w:t>
      </w:r>
      <w:bookmarkEnd w:id="10"/>
    </w:p>
    <w:p w14:paraId="3134949C">
      <w:pPr>
        <w:ind w:firstLine="0"/>
      </w:pPr>
      <w:r>
        <w:rPr>
          <w:b/>
        </w:rPr>
        <w:t>测试重点：</w:t>
      </w:r>
    </w:p>
    <w:p w14:paraId="67D24ACF">
      <w:pPr>
        <w:pStyle w:val="16"/>
        <w:ind w:left="420" w:firstLine="0"/>
      </w:pPr>
      <w:r>
        <w:rPr>
          <w:rFonts w:ascii="Arial" w:hAnsi="Arial" w:eastAsia="宋体"/>
          <w:sz w:val="24"/>
        </w:rPr>
        <w:t>核心支付流程（下单→扣款→回调→通知→对账）</w:t>
      </w:r>
    </w:p>
    <w:p w14:paraId="7C27946F">
      <w:pPr>
        <w:pStyle w:val="16"/>
        <w:ind w:left="420" w:firstLine="0"/>
      </w:pPr>
      <w:r>
        <w:rPr>
          <w:rFonts w:ascii="Arial" w:hAnsi="Arial" w:eastAsia="宋体"/>
          <w:sz w:val="24"/>
        </w:rPr>
        <w:t>多渠道组合支付与渠道切换</w:t>
      </w:r>
    </w:p>
    <w:p w14:paraId="03E44C1A">
      <w:pPr>
        <w:pStyle w:val="16"/>
        <w:ind w:left="420" w:firstLine="0"/>
      </w:pPr>
      <w:r>
        <w:rPr>
          <w:rFonts w:ascii="Arial" w:hAnsi="Arial" w:eastAsia="宋体"/>
          <w:sz w:val="24"/>
        </w:rPr>
        <w:t>转账与退款全流程</w:t>
      </w:r>
    </w:p>
    <w:p w14:paraId="04614F93">
      <w:pPr>
        <w:pStyle w:val="16"/>
        <w:ind w:left="420" w:firstLine="0"/>
      </w:pPr>
      <w:r>
        <w:rPr>
          <w:rFonts w:ascii="Arial" w:hAnsi="Arial" w:eastAsia="宋体"/>
          <w:sz w:val="24"/>
        </w:rPr>
        <w:t>生物识别支付与免密支付</w:t>
      </w:r>
    </w:p>
    <w:p w14:paraId="13B5A1A7">
      <w:pPr>
        <w:pStyle w:val="16"/>
        <w:ind w:left="420" w:firstLine="0"/>
      </w:pPr>
      <w:r>
        <w:rPr>
          <w:rFonts w:ascii="Arial" w:hAnsi="Arial" w:eastAsia="宋体"/>
          <w:sz w:val="24"/>
        </w:rPr>
        <w:t>异常场景处理（超时、重复提交、网络中断）</w:t>
      </w:r>
    </w:p>
    <w:p w14:paraId="2ABED53D">
      <w:pPr>
        <w:ind w:firstLine="0"/>
      </w:pPr>
      <w:r>
        <w:rPr>
          <w:b/>
        </w:rPr>
        <w:t>测试方法：</w:t>
      </w:r>
    </w:p>
    <w:p w14:paraId="1AE0E2AD">
      <w:pPr>
        <w:pStyle w:val="16"/>
        <w:ind w:left="420" w:firstLine="0"/>
      </w:pPr>
      <w:r>
        <w:rPr>
          <w:rFonts w:ascii="Arial" w:hAnsi="Arial" w:eastAsia="宋体"/>
          <w:sz w:val="24"/>
        </w:rPr>
        <w:t>场景法：设计用户典型支付路径（扫码/收银台/转账）</w:t>
      </w:r>
    </w:p>
    <w:p w14:paraId="3A6FE550">
      <w:pPr>
        <w:pStyle w:val="16"/>
        <w:ind w:left="420" w:firstLine="0"/>
      </w:pPr>
      <w:r>
        <w:rPr>
          <w:rFonts w:ascii="Arial" w:hAnsi="Arial" w:eastAsia="宋体"/>
          <w:sz w:val="24"/>
        </w:rPr>
        <w:t>边界值：支付金额（0.01/1/5万/5万+0.01）、笔数（1/99/100）</w:t>
      </w:r>
    </w:p>
    <w:p w14:paraId="38325172">
      <w:pPr>
        <w:pStyle w:val="16"/>
        <w:ind w:left="420" w:firstLine="0"/>
      </w:pPr>
      <w:r>
        <w:rPr>
          <w:rFonts w:ascii="Arial" w:hAnsi="Arial" w:eastAsia="宋体"/>
          <w:sz w:val="24"/>
        </w:rPr>
        <w:t>等价类：支付渠道（余额/储蓄卡/信用卡/花呗/余额宝）、支付状态</w:t>
      </w:r>
    </w:p>
    <w:p w14:paraId="165279E6">
      <w:pPr>
        <w:pStyle w:val="16"/>
        <w:ind w:left="420" w:firstLine="0"/>
      </w:pPr>
      <w:r>
        <w:rPr>
          <w:rFonts w:ascii="Arial" w:hAnsi="Arial" w:eastAsia="宋体"/>
          <w:sz w:val="24"/>
        </w:rPr>
        <w:t>错误推测：重点关注支付超时、重复扣款、回调丢失等高频异常</w:t>
      </w:r>
    </w:p>
    <w:p w14:paraId="1E330ABB">
      <w:pPr>
        <w:ind w:firstLine="0"/>
      </w:pPr>
      <w:r>
        <w:rPr>
          <w:b/>
        </w:rPr>
        <w:t>用例设计：</w:t>
      </w:r>
    </w:p>
    <w:p w14:paraId="1BA8C595">
      <w:pPr>
        <w:pStyle w:val="16"/>
        <w:ind w:left="420" w:firstLine="0"/>
      </w:pPr>
      <w:r>
        <w:rPr>
          <w:rFonts w:ascii="Arial" w:hAnsi="Arial" w:eastAsia="宋体"/>
          <w:sz w:val="24"/>
        </w:rPr>
        <w:t>主场景：正常支付 → 扩展场景：多渠道/退款/转账 → 异常场景：超时/重复/断网</w:t>
      </w:r>
    </w:p>
    <w:p w14:paraId="1B7A78F5">
      <w:pPr>
        <w:pStyle w:val="4"/>
      </w:pPr>
      <w:bookmarkStart w:id="11" w:name="_Toc26696"/>
      <w:r>
        <w:t>3.2 兼容性测试策略</w:t>
      </w:r>
      <w:bookmarkEnd w:id="11"/>
    </w:p>
    <w:p w14:paraId="40BADCD6">
      <w:pPr>
        <w:ind w:firstLine="0"/>
      </w:pPr>
      <w:r>
        <w:rPr>
          <w:b/>
        </w:rPr>
        <w:t>测试矩阵：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3402"/>
        <w:gridCol w:w="3685"/>
      </w:tblGrid>
      <w:tr w14:paraId="654D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shd w:val="clear" w:color="auto" w:fill="D9D9D9"/>
            <w:vAlign w:val="center"/>
          </w:tcPr>
          <w:p w14:paraId="718F968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平台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7CDC979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覆盖范围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2AD57F0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测试重点</w:t>
            </w:r>
          </w:p>
        </w:tc>
      </w:tr>
      <w:tr w14:paraId="2A2E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43A97C85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iOS</w:t>
            </w:r>
          </w:p>
        </w:tc>
        <w:tc>
          <w:tcPr>
            <w:tcW w:w="3402" w:type="dxa"/>
            <w:vAlign w:val="center"/>
          </w:tcPr>
          <w:p w14:paraId="1741FA5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iPhone 13-17系列，iOS 16-18</w:t>
            </w:r>
          </w:p>
        </w:tc>
        <w:tc>
          <w:tcPr>
            <w:tcW w:w="3685" w:type="dxa"/>
            <w:vAlign w:val="center"/>
          </w:tcPr>
          <w:p w14:paraId="641C0635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Face ID/触控ID、Apple Pay集成、界面适配</w:t>
            </w:r>
          </w:p>
        </w:tc>
      </w:tr>
      <w:tr w14:paraId="3387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4C40A65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Android</w:t>
            </w:r>
          </w:p>
        </w:tc>
        <w:tc>
          <w:tcPr>
            <w:tcW w:w="3402" w:type="dxa"/>
            <w:vAlign w:val="center"/>
          </w:tcPr>
          <w:p w14:paraId="3C804408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华为、小米、OPPO、vivo、三星主流机型</w:t>
            </w:r>
          </w:p>
        </w:tc>
        <w:tc>
          <w:tcPr>
            <w:tcW w:w="3685" w:type="dxa"/>
            <w:vAlign w:val="center"/>
          </w:tcPr>
          <w:p w14:paraId="70B265AB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指纹识别、NFC、碎片化适配、权限管理</w:t>
            </w:r>
          </w:p>
        </w:tc>
      </w:tr>
      <w:tr w14:paraId="7907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6EDBAB41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小程序</w:t>
            </w:r>
          </w:p>
        </w:tc>
        <w:tc>
          <w:tcPr>
            <w:tcW w:w="3402" w:type="dxa"/>
            <w:vAlign w:val="center"/>
          </w:tcPr>
          <w:p w14:paraId="4BC71E6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支付宝小程序、微信小程序</w:t>
            </w:r>
          </w:p>
        </w:tc>
        <w:tc>
          <w:tcPr>
            <w:tcW w:w="3685" w:type="dxa"/>
            <w:vAlign w:val="center"/>
          </w:tcPr>
          <w:p w14:paraId="4381414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小程序支付、授权登录、跨端一致性</w:t>
            </w:r>
          </w:p>
        </w:tc>
      </w:tr>
      <w:tr w14:paraId="5796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2B2E8301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硬件设备</w:t>
            </w:r>
          </w:p>
        </w:tc>
        <w:tc>
          <w:tcPr>
            <w:tcW w:w="3402" w:type="dxa"/>
            <w:vAlign w:val="center"/>
          </w:tcPr>
          <w:p w14:paraId="4880159F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POS机、扫码枪、手环/手表支付</w:t>
            </w:r>
          </w:p>
        </w:tc>
        <w:tc>
          <w:tcPr>
            <w:tcW w:w="3685" w:type="dxa"/>
            <w:vAlign w:val="center"/>
          </w:tcPr>
          <w:p w14:paraId="3A046BAC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硬件交互、蓝牙/NFC通信、离线支付</w:t>
            </w:r>
          </w:p>
        </w:tc>
      </w:tr>
    </w:tbl>
    <w:p w14:paraId="1E13C63F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表4 兼容性测试矩阵</w:t>
      </w:r>
    </w:p>
    <w:p w14:paraId="087B6B70">
      <w:pPr>
        <w:ind w:firstLine="0"/>
      </w:pPr>
      <w:r>
        <w:rPr>
          <w:b/>
        </w:rPr>
        <w:t>工具支持：</w:t>
      </w:r>
    </w:p>
    <w:p w14:paraId="028B05B7">
      <w:pPr>
        <w:pStyle w:val="16"/>
        <w:ind w:left="420" w:firstLine="0"/>
      </w:pPr>
      <w:r>
        <w:rPr>
          <w:rFonts w:ascii="Arial" w:hAnsi="Arial" w:eastAsia="宋体"/>
          <w:sz w:val="24"/>
        </w:rPr>
        <w:t>云真机平台：覆盖30+主流机型</w:t>
      </w:r>
    </w:p>
    <w:p w14:paraId="01B907A9">
      <w:pPr>
        <w:pStyle w:val="16"/>
        <w:ind w:left="420" w:firstLine="0"/>
      </w:pPr>
      <w:r>
        <w:rPr>
          <w:rFonts w:ascii="Arial" w:hAnsi="Arial" w:eastAsia="宋体"/>
          <w:sz w:val="24"/>
        </w:rPr>
        <w:t>自动化脚本：核心支付链路回归验证</w:t>
      </w:r>
    </w:p>
    <w:p w14:paraId="5AFD5CA4">
      <w:pPr>
        <w:pStyle w:val="16"/>
        <w:ind w:left="420" w:firstLine="0"/>
      </w:pPr>
      <w:r>
        <w:rPr>
          <w:rFonts w:ascii="Arial" w:hAnsi="Arial" w:eastAsia="宋体"/>
          <w:sz w:val="24"/>
        </w:rPr>
        <w:t>弱网模拟工具：Network Link Conditioner/Clumsy</w:t>
      </w:r>
    </w:p>
    <w:p w14:paraId="1A76459E">
      <w:pPr>
        <w:pStyle w:val="4"/>
      </w:pPr>
      <w:bookmarkStart w:id="12" w:name="_Toc17014"/>
      <w:r>
        <w:t>3.3 性能测试策略</w:t>
      </w:r>
      <w:bookmarkEnd w:id="12"/>
    </w:p>
    <w:p w14:paraId="5C0D6915">
      <w:pPr>
        <w:ind w:firstLine="0"/>
      </w:pPr>
      <w:r>
        <w:rPr>
          <w:b/>
        </w:rPr>
        <w:t>性能指标：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3969"/>
      </w:tblGrid>
      <w:tr w14:paraId="1274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5C76955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性能指标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F50F8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目标值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689AD1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测试场景</w:t>
            </w:r>
          </w:p>
        </w:tc>
      </w:tr>
      <w:tr w14:paraId="6BEA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1F32E27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支付接口响应时间</w:t>
            </w:r>
          </w:p>
        </w:tc>
        <w:tc>
          <w:tcPr>
            <w:tcW w:w="2268" w:type="dxa"/>
            <w:vAlign w:val="center"/>
          </w:tcPr>
          <w:p w14:paraId="6435EF5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P99≤500ms</w:t>
            </w:r>
          </w:p>
        </w:tc>
        <w:tc>
          <w:tcPr>
            <w:tcW w:w="3969" w:type="dxa"/>
            <w:vAlign w:val="center"/>
          </w:tcPr>
          <w:p w14:paraId="795DD65F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正常负载下单笔支付</w:t>
            </w:r>
          </w:p>
        </w:tc>
      </w:tr>
      <w:tr w14:paraId="176C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57B1238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系统吞吐量(TPS)</w:t>
            </w:r>
          </w:p>
        </w:tc>
        <w:tc>
          <w:tcPr>
            <w:tcW w:w="2268" w:type="dxa"/>
            <w:vAlign w:val="center"/>
          </w:tcPr>
          <w:p w14:paraId="0AE4F7C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峰值≥50万TPS</w:t>
            </w:r>
          </w:p>
        </w:tc>
        <w:tc>
          <w:tcPr>
            <w:tcW w:w="3969" w:type="dxa"/>
            <w:vAlign w:val="center"/>
          </w:tcPr>
          <w:p w14:paraId="118B88F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双11峰值压测</w:t>
            </w:r>
          </w:p>
        </w:tc>
      </w:tr>
      <w:tr w14:paraId="5E7B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4A7BB3A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数据库性能</w:t>
            </w:r>
          </w:p>
        </w:tc>
        <w:tc>
          <w:tcPr>
            <w:tcW w:w="2268" w:type="dxa"/>
            <w:vAlign w:val="center"/>
          </w:tcPr>
          <w:p w14:paraId="56A1F2CA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SQL执行P99≤10ms</w:t>
            </w:r>
          </w:p>
        </w:tc>
        <w:tc>
          <w:tcPr>
            <w:tcW w:w="3969" w:type="dxa"/>
            <w:vAlign w:val="center"/>
          </w:tcPr>
          <w:p w14:paraId="15F0543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高并发下账务查询</w:t>
            </w:r>
          </w:p>
        </w:tc>
      </w:tr>
      <w:tr w14:paraId="5A7E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334C0F8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消息队列延迟</w:t>
            </w:r>
          </w:p>
        </w:tc>
        <w:tc>
          <w:tcPr>
            <w:tcW w:w="2268" w:type="dxa"/>
            <w:vAlign w:val="center"/>
          </w:tcPr>
          <w:p w14:paraId="418FB12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≤100ms</w:t>
            </w:r>
          </w:p>
        </w:tc>
        <w:tc>
          <w:tcPr>
            <w:tcW w:w="3969" w:type="dxa"/>
            <w:vAlign w:val="center"/>
          </w:tcPr>
          <w:p w14:paraId="5B891EE5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支付回调异步通知</w:t>
            </w:r>
          </w:p>
        </w:tc>
      </w:tr>
      <w:tr w14:paraId="0031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5769D763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端到端支付耗时</w:t>
            </w:r>
          </w:p>
        </w:tc>
        <w:tc>
          <w:tcPr>
            <w:tcW w:w="2268" w:type="dxa"/>
            <w:vAlign w:val="center"/>
          </w:tcPr>
          <w:p w14:paraId="5283B105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≤2秒（含客户端）</w:t>
            </w:r>
          </w:p>
        </w:tc>
        <w:tc>
          <w:tcPr>
            <w:tcW w:w="3969" w:type="dxa"/>
            <w:vAlign w:val="center"/>
          </w:tcPr>
          <w:p w14:paraId="1158D47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用户感知的完整支付流程</w:t>
            </w:r>
          </w:p>
        </w:tc>
      </w:tr>
      <w:tr w14:paraId="0BA0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53AFC89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资源使用率</w:t>
            </w:r>
          </w:p>
        </w:tc>
        <w:tc>
          <w:tcPr>
            <w:tcW w:w="2268" w:type="dxa"/>
            <w:vAlign w:val="center"/>
          </w:tcPr>
          <w:p w14:paraId="02BFA01F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CPU≤70%，内存≤80%</w:t>
            </w:r>
          </w:p>
        </w:tc>
        <w:tc>
          <w:tcPr>
            <w:tcW w:w="3969" w:type="dxa"/>
            <w:vAlign w:val="center"/>
          </w:tcPr>
          <w:p w14:paraId="5D9D6CE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峰值压测下服务器资源</w:t>
            </w:r>
          </w:p>
        </w:tc>
      </w:tr>
    </w:tbl>
    <w:p w14:paraId="43C42BF9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表5 性能测试指标</w:t>
      </w:r>
    </w:p>
    <w:p w14:paraId="4E6388D2">
      <w:pPr>
        <w:ind w:firstLine="0"/>
      </w:pPr>
      <w:r>
        <w:rPr>
          <w:b/>
        </w:rPr>
        <w:t>测试场景：</w:t>
      </w:r>
    </w:p>
    <w:p w14:paraId="66BAC14A">
      <w:pPr>
        <w:pStyle w:val="16"/>
        <w:ind w:left="420" w:firstLine="0"/>
      </w:pPr>
      <w:r>
        <w:rPr>
          <w:rFonts w:ascii="Arial" w:hAnsi="Arial" w:eastAsia="宋体"/>
          <w:sz w:val="24"/>
        </w:rPr>
        <w:t>单用户典型支付路径性能基准</w:t>
      </w:r>
    </w:p>
    <w:p w14:paraId="07F00910">
      <w:pPr>
        <w:pStyle w:val="16"/>
        <w:ind w:left="420" w:firstLine="0"/>
      </w:pPr>
      <w:r>
        <w:rPr>
          <w:rFonts w:ascii="Arial" w:hAnsi="Arial" w:eastAsia="宋体"/>
          <w:sz w:val="24"/>
        </w:rPr>
        <w:t>多用户并发支付压力测试（阶梯加压）</w:t>
      </w:r>
    </w:p>
    <w:p w14:paraId="5197C202">
      <w:pPr>
        <w:pStyle w:val="16"/>
        <w:ind w:left="420" w:firstLine="0"/>
      </w:pPr>
      <w:r>
        <w:rPr>
          <w:rFonts w:ascii="Arial" w:hAnsi="Arial" w:eastAsia="宋体"/>
          <w:sz w:val="24"/>
        </w:rPr>
        <w:t>双11峰值场景稳定性测试（持续2小时）</w:t>
      </w:r>
    </w:p>
    <w:p w14:paraId="0256A858">
      <w:pPr>
        <w:pStyle w:val="16"/>
        <w:ind w:left="420" w:firstLine="0"/>
      </w:pPr>
      <w:r>
        <w:rPr>
          <w:rFonts w:ascii="Arial" w:hAnsi="Arial" w:eastAsia="宋体"/>
          <w:sz w:val="24"/>
        </w:rPr>
        <w:t>限流降级场景验证（超阈值时系统保护机制）</w:t>
      </w:r>
    </w:p>
    <w:p w14:paraId="579CEB31">
      <w:pPr>
        <w:pStyle w:val="16"/>
        <w:ind w:left="420" w:firstLine="0"/>
      </w:pPr>
      <w:r>
        <w:rPr>
          <w:rFonts w:ascii="Arial" w:hAnsi="Arial" w:eastAsia="宋体"/>
          <w:sz w:val="24"/>
        </w:rPr>
        <w:t>数据库慢查询与连接池性能测试</w:t>
      </w:r>
    </w:p>
    <w:p w14:paraId="0ECF21B6">
      <w:pPr>
        <w:pStyle w:val="4"/>
      </w:pPr>
      <w:bookmarkStart w:id="13" w:name="_Toc2143"/>
      <w:r>
        <w:t>3.4 安全测试策略</w:t>
      </w:r>
      <w:bookmarkEnd w:id="13"/>
    </w:p>
    <w:p w14:paraId="63D83F3E">
      <w:pPr>
        <w:ind w:firstLine="0"/>
      </w:pPr>
      <w:r>
        <w:rPr>
          <w:b/>
        </w:rPr>
        <w:t>测试重点：</w:t>
      </w:r>
    </w:p>
    <w:p w14:paraId="36F5463B">
      <w:pPr>
        <w:pStyle w:val="16"/>
        <w:ind w:left="420" w:firstLine="0"/>
      </w:pPr>
      <w:r>
        <w:rPr>
          <w:rFonts w:ascii="Arial" w:hAnsi="Arial" w:eastAsia="宋体"/>
          <w:sz w:val="24"/>
        </w:rPr>
        <w:t>资金安全：防重复扣款、防越权转账、防金额篡改</w:t>
      </w:r>
    </w:p>
    <w:p w14:paraId="79E9B4BA">
      <w:pPr>
        <w:pStyle w:val="16"/>
        <w:ind w:left="420" w:firstLine="0"/>
      </w:pPr>
      <w:r>
        <w:rPr>
          <w:rFonts w:ascii="Arial" w:hAnsi="Arial" w:eastAsia="宋体"/>
          <w:sz w:val="24"/>
        </w:rPr>
        <w:t>数据加密：传输加密（HTTPS/TLS）、敏感数据加密存储</w:t>
      </w:r>
    </w:p>
    <w:p w14:paraId="22A2FEAD">
      <w:pPr>
        <w:pStyle w:val="16"/>
        <w:ind w:left="420" w:firstLine="0"/>
      </w:pPr>
      <w:r>
        <w:rPr>
          <w:rFonts w:ascii="Arial" w:hAnsi="Arial" w:eastAsia="宋体"/>
          <w:sz w:val="24"/>
        </w:rPr>
        <w:t>反欺诈验证：风控规则有效性、异常交易拦截</w:t>
      </w:r>
    </w:p>
    <w:p w14:paraId="488CAF9B">
      <w:pPr>
        <w:pStyle w:val="16"/>
        <w:ind w:left="420" w:firstLine="0"/>
      </w:pPr>
      <w:r>
        <w:rPr>
          <w:rFonts w:ascii="Arial" w:hAnsi="Arial" w:eastAsia="宋体"/>
          <w:sz w:val="24"/>
        </w:rPr>
        <w:t>生物识别安全：指纹/面容伪造防护、生物特征数据保护</w:t>
      </w:r>
    </w:p>
    <w:p w14:paraId="3C68BD93">
      <w:pPr>
        <w:pStyle w:val="16"/>
        <w:ind w:left="420" w:firstLine="0"/>
      </w:pPr>
      <w:r>
        <w:rPr>
          <w:rFonts w:ascii="Arial" w:hAnsi="Arial" w:eastAsia="宋体"/>
          <w:sz w:val="24"/>
        </w:rPr>
        <w:t>接口安全：SQL注入、XSS、CSRF、越权访问、参数篡改</w:t>
      </w:r>
    </w:p>
    <w:p w14:paraId="20783EE5">
      <w:pPr>
        <w:pStyle w:val="16"/>
        <w:ind w:left="420" w:firstLine="0"/>
      </w:pPr>
      <w:r>
        <w:rPr>
          <w:rFonts w:ascii="Arial" w:hAnsi="Arial" w:eastAsia="宋体"/>
          <w:sz w:val="24"/>
        </w:rPr>
        <w:t>合规安全：反洗钱、实名认证、交易留痕、数据脱敏</w:t>
      </w:r>
    </w:p>
    <w:p w14:paraId="04ABE927">
      <w:pPr>
        <w:ind w:firstLine="0"/>
      </w:pPr>
      <w:r>
        <w:rPr>
          <w:b/>
        </w:rPr>
        <w:t>测试方法：</w:t>
      </w:r>
    </w:p>
    <w:p w14:paraId="65D8FD07">
      <w:pPr>
        <w:pStyle w:val="16"/>
        <w:ind w:left="420" w:firstLine="0"/>
      </w:pPr>
      <w:r>
        <w:rPr>
          <w:rFonts w:ascii="Arial" w:hAnsi="Arial" w:eastAsia="宋体"/>
          <w:sz w:val="24"/>
        </w:rPr>
        <w:t>静态代码扫描（SAST）：SonarQube/Checkmarx</w:t>
      </w:r>
    </w:p>
    <w:p w14:paraId="764DD3E3">
      <w:pPr>
        <w:pStyle w:val="16"/>
        <w:ind w:left="420" w:firstLine="0"/>
      </w:pPr>
      <w:r>
        <w:rPr>
          <w:rFonts w:ascii="Arial" w:hAnsi="Arial" w:eastAsia="宋体"/>
          <w:sz w:val="24"/>
        </w:rPr>
        <w:t>动态安全测试（DAST）：OWASP ZAP/Burp Suite</w:t>
      </w:r>
    </w:p>
    <w:p w14:paraId="5BC6FE39">
      <w:pPr>
        <w:pStyle w:val="16"/>
        <w:ind w:left="420" w:firstLine="0"/>
      </w:pPr>
      <w:r>
        <w:rPr>
          <w:rFonts w:ascii="Arial" w:hAnsi="Arial" w:eastAsia="宋体"/>
          <w:sz w:val="24"/>
        </w:rPr>
        <w:t>手动渗透测试：模拟黑客攻击支付接口</w:t>
      </w:r>
    </w:p>
    <w:p w14:paraId="04291D08">
      <w:pPr>
        <w:pStyle w:val="16"/>
        <w:ind w:left="420" w:firstLine="0"/>
      </w:pPr>
      <w:r>
        <w:rPr>
          <w:rFonts w:ascii="Arial" w:hAnsi="Arial" w:eastAsia="宋体"/>
          <w:sz w:val="24"/>
        </w:rPr>
        <w:t>风控规则验证：构造异常交易场景验证拦截</w:t>
      </w:r>
    </w:p>
    <w:p w14:paraId="3EF85FB1">
      <w:pPr>
        <w:pStyle w:val="16"/>
        <w:ind w:left="420" w:firstLine="0"/>
      </w:pPr>
      <w:r>
        <w:rPr>
          <w:rFonts w:ascii="Arial" w:hAnsi="Arial" w:eastAsia="宋体"/>
          <w:sz w:val="24"/>
        </w:rPr>
        <w:t>合规审计：对照央行/网联监管要求逐项核查</w:t>
      </w:r>
    </w:p>
    <w:p w14:paraId="01809034">
      <w:pPr>
        <w:pStyle w:val="4"/>
      </w:pPr>
      <w:bookmarkStart w:id="14" w:name="_Toc6391"/>
      <w:r>
        <w:t>3.5 测试类型选择理由</w:t>
      </w:r>
      <w:bookmarkEnd w:id="14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5102"/>
        <w:gridCol w:w="1701"/>
      </w:tblGrid>
      <w:tr w14:paraId="1B76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140DCAE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测试类型</w:t>
            </w:r>
          </w:p>
        </w:tc>
        <w:tc>
          <w:tcPr>
            <w:tcW w:w="5102" w:type="dxa"/>
            <w:shd w:val="clear" w:color="auto" w:fill="D9D9D9"/>
            <w:vAlign w:val="center"/>
          </w:tcPr>
          <w:p w14:paraId="51C32E7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选择理由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BEF7C0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优先级</w:t>
            </w:r>
          </w:p>
        </w:tc>
      </w:tr>
      <w:tr w14:paraId="23C0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71B2C2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功能测试</w:t>
            </w:r>
          </w:p>
        </w:tc>
        <w:tc>
          <w:tcPr>
            <w:tcW w:w="5102" w:type="dxa"/>
            <w:vAlign w:val="center"/>
          </w:tcPr>
          <w:p w14:paraId="70E28C1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支付流程正确性是资金安全的基础，必须全覆盖</w:t>
            </w:r>
          </w:p>
        </w:tc>
        <w:tc>
          <w:tcPr>
            <w:tcW w:w="1701" w:type="dxa"/>
            <w:vAlign w:val="center"/>
          </w:tcPr>
          <w:p w14:paraId="0826196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必须</w:t>
            </w:r>
          </w:p>
        </w:tc>
      </w:tr>
      <w:tr w14:paraId="0DC7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566C2C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兼容性测试</w:t>
            </w:r>
          </w:p>
        </w:tc>
        <w:tc>
          <w:tcPr>
            <w:tcW w:w="5102" w:type="dxa"/>
            <w:vAlign w:val="center"/>
          </w:tcPr>
          <w:p w14:paraId="3427D09F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支付场景覆盖设备极广，碎片化严重</w:t>
            </w:r>
          </w:p>
        </w:tc>
        <w:tc>
          <w:tcPr>
            <w:tcW w:w="1701" w:type="dxa"/>
            <w:vAlign w:val="center"/>
          </w:tcPr>
          <w:p w14:paraId="2F7327F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必须</w:t>
            </w:r>
          </w:p>
        </w:tc>
      </w:tr>
      <w:tr w14:paraId="7183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C82222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性能测试</w:t>
            </w:r>
          </w:p>
        </w:tc>
        <w:tc>
          <w:tcPr>
            <w:tcW w:w="5102" w:type="dxa"/>
            <w:vAlign w:val="center"/>
          </w:tcPr>
          <w:p w14:paraId="6A0C00B4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双11等峰值场景对系统性能要求极高</w:t>
            </w:r>
          </w:p>
        </w:tc>
        <w:tc>
          <w:tcPr>
            <w:tcW w:w="1701" w:type="dxa"/>
            <w:vAlign w:val="center"/>
          </w:tcPr>
          <w:p w14:paraId="062653F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重要</w:t>
            </w:r>
          </w:p>
        </w:tc>
      </w:tr>
      <w:tr w14:paraId="25F4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B12690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安全测试</w:t>
            </w:r>
          </w:p>
        </w:tc>
        <w:tc>
          <w:tcPr>
            <w:tcW w:w="5102" w:type="dxa"/>
            <w:vAlign w:val="center"/>
          </w:tcPr>
          <w:p w14:paraId="2E16FCF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支付涉及资金和隐私，安全是不可妥协的底线</w:t>
            </w:r>
          </w:p>
        </w:tc>
        <w:tc>
          <w:tcPr>
            <w:tcW w:w="1701" w:type="dxa"/>
            <w:vAlign w:val="center"/>
          </w:tcPr>
          <w:p w14:paraId="39FDB0F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必要</w:t>
            </w:r>
          </w:p>
        </w:tc>
      </w:tr>
    </w:tbl>
    <w:p w14:paraId="2B2F13FA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表6 测试类型选择理由</w:t>
      </w:r>
    </w:p>
    <w:p w14:paraId="03B6AE76">
      <w:pPr>
        <w:pStyle w:val="3"/>
      </w:pPr>
      <w:bookmarkStart w:id="15" w:name="_Toc24869"/>
      <w:r>
        <w:t>4. 测试计划</w:t>
      </w:r>
      <w:bookmarkEnd w:id="15"/>
    </w:p>
    <w:p w14:paraId="39BFC488">
      <w:pPr>
        <w:pStyle w:val="4"/>
      </w:pPr>
      <w:bookmarkStart w:id="16" w:name="_Toc30700"/>
      <w:r>
        <w:t>4.1 测试范围与边界</w:t>
      </w:r>
      <w:bookmarkEnd w:id="16"/>
    </w:p>
    <w:p w14:paraId="629A8D27">
      <w:pPr>
        <w:ind w:firstLine="0"/>
      </w:pPr>
      <w:r>
        <w:rPr>
          <w:b/>
        </w:rPr>
        <w:t>In-Scope（包含）：</w:t>
      </w:r>
    </w:p>
    <w:p w14:paraId="6ED28743">
      <w:pPr>
        <w:pStyle w:val="16"/>
        <w:ind w:left="420" w:firstLine="0"/>
      </w:pPr>
      <w:r>
        <w:rPr>
          <w:rFonts w:ascii="Arial" w:hAnsi="Arial" w:eastAsia="宋体"/>
          <w:sz w:val="24"/>
        </w:rPr>
        <w:t>扫码支付（主扫/被扫）核心功能</w:t>
      </w:r>
    </w:p>
    <w:p w14:paraId="152F3CD7">
      <w:pPr>
        <w:pStyle w:val="16"/>
        <w:ind w:left="420" w:firstLine="0"/>
      </w:pPr>
      <w:r>
        <w:rPr>
          <w:rFonts w:ascii="Arial" w:hAnsi="Arial" w:eastAsia="宋体"/>
          <w:sz w:val="24"/>
        </w:rPr>
        <w:t>多渠道支付与组合支付</w:t>
      </w:r>
    </w:p>
    <w:p w14:paraId="4073147B">
      <w:pPr>
        <w:pStyle w:val="16"/>
        <w:ind w:left="420" w:firstLine="0"/>
      </w:pPr>
      <w:r>
        <w:rPr>
          <w:rFonts w:ascii="Arial" w:hAnsi="Arial" w:eastAsia="宋体"/>
          <w:sz w:val="24"/>
        </w:rPr>
        <w:t>转账功能（好友/银行卡/手机号）</w:t>
      </w:r>
    </w:p>
    <w:p w14:paraId="63716A45">
      <w:pPr>
        <w:pStyle w:val="16"/>
        <w:ind w:left="420" w:firstLine="0"/>
      </w:pPr>
      <w:r>
        <w:rPr>
          <w:rFonts w:ascii="Arial" w:hAnsi="Arial" w:eastAsia="宋体"/>
          <w:sz w:val="24"/>
        </w:rPr>
        <w:t>退款功能（全额/部分/原路退回）</w:t>
      </w:r>
    </w:p>
    <w:p w14:paraId="1EC1EF7F">
      <w:pPr>
        <w:pStyle w:val="16"/>
        <w:ind w:left="420" w:firstLine="0"/>
      </w:pPr>
      <w:r>
        <w:rPr>
          <w:rFonts w:ascii="Arial" w:hAnsi="Arial" w:eastAsia="宋体"/>
          <w:sz w:val="24"/>
        </w:rPr>
        <w:t>生物识别支付（指纹/面容/免密）</w:t>
      </w:r>
    </w:p>
    <w:p w14:paraId="2BD9571D">
      <w:pPr>
        <w:pStyle w:val="16"/>
        <w:ind w:left="420" w:firstLine="0"/>
      </w:pPr>
      <w:r>
        <w:rPr>
          <w:rFonts w:ascii="Arial" w:hAnsi="Arial" w:eastAsia="宋体"/>
          <w:sz w:val="24"/>
        </w:rPr>
        <w:t>账单查询与交易明细</w:t>
      </w:r>
    </w:p>
    <w:p w14:paraId="3DFB40A9">
      <w:pPr>
        <w:pStyle w:val="16"/>
        <w:ind w:left="420" w:firstLine="0"/>
      </w:pPr>
      <w:r>
        <w:rPr>
          <w:rFonts w:ascii="Arial" w:hAnsi="Arial" w:eastAsia="宋体"/>
          <w:sz w:val="24"/>
        </w:rPr>
        <w:t>30款主流设备兼容性测试</w:t>
      </w:r>
    </w:p>
    <w:p w14:paraId="0AF4C589">
      <w:pPr>
        <w:pStyle w:val="16"/>
        <w:ind w:left="420" w:firstLine="0"/>
      </w:pPr>
      <w:r>
        <w:rPr>
          <w:rFonts w:ascii="Arial" w:hAnsi="Arial" w:eastAsia="宋体"/>
          <w:sz w:val="24"/>
        </w:rPr>
        <w:t>高并发性能压测与安全渗透测试</w:t>
      </w:r>
    </w:p>
    <w:p w14:paraId="450C9A12">
      <w:pPr>
        <w:ind w:firstLine="0"/>
      </w:pPr>
      <w:r>
        <w:rPr>
          <w:b/>
        </w:rPr>
        <w:t>Out-of-Scope（不包含）：</w:t>
      </w:r>
    </w:p>
    <w:p w14:paraId="2271B4CC">
      <w:pPr>
        <w:pStyle w:val="16"/>
        <w:ind w:left="420" w:firstLine="0"/>
      </w:pPr>
      <w:r>
        <w:rPr>
          <w:rFonts w:ascii="Arial" w:hAnsi="Arial" w:eastAsia="宋体"/>
          <w:sz w:val="24"/>
        </w:rPr>
        <w:t>理财/基金/保险产品（非支付核心链路）</w:t>
      </w:r>
    </w:p>
    <w:p w14:paraId="39F624D5">
      <w:pPr>
        <w:pStyle w:val="16"/>
        <w:ind w:left="420" w:firstLine="0"/>
      </w:pPr>
      <w:r>
        <w:rPr>
          <w:rFonts w:ascii="Arial" w:hAnsi="Arial" w:eastAsia="宋体"/>
          <w:sz w:val="24"/>
        </w:rPr>
        <w:t>信贷/花呗借呗审批流程（风控独立测试）</w:t>
      </w:r>
    </w:p>
    <w:p w14:paraId="787D4304">
      <w:pPr>
        <w:pStyle w:val="16"/>
        <w:ind w:left="420" w:firstLine="0"/>
      </w:pPr>
      <w:r>
        <w:rPr>
          <w:rFonts w:ascii="Arial" w:hAnsi="Arial" w:eastAsia="宋体"/>
          <w:sz w:val="24"/>
        </w:rPr>
        <w:t>生活服务（水电煤缴费、外卖等垂直场景）</w:t>
      </w:r>
    </w:p>
    <w:p w14:paraId="1C19D322">
      <w:pPr>
        <w:pStyle w:val="16"/>
        <w:ind w:left="420" w:firstLine="0"/>
      </w:pPr>
      <w:r>
        <w:rPr>
          <w:rFonts w:ascii="Arial" w:hAnsi="Arial" w:eastAsia="宋体"/>
          <w:sz w:val="24"/>
        </w:rPr>
        <w:t>会员体系与积分功能</w:t>
      </w:r>
    </w:p>
    <w:p w14:paraId="13346CC6">
      <w:pPr>
        <w:pStyle w:val="16"/>
        <w:ind w:left="420" w:firstLine="0"/>
      </w:pPr>
      <w:r>
        <w:rPr>
          <w:rFonts w:ascii="Arial" w:hAnsi="Arial" w:eastAsia="宋体"/>
          <w:sz w:val="24"/>
        </w:rPr>
        <w:t>跨境支付（独立项目，本次不涉及）</w:t>
      </w:r>
    </w:p>
    <w:p w14:paraId="554BF103">
      <w:pPr>
        <w:pStyle w:val="4"/>
      </w:pPr>
      <w:bookmarkStart w:id="17" w:name="_Toc3609"/>
      <w:r>
        <w:t>4.2 时间进度与里程碑</w:t>
      </w:r>
      <w:bookmarkEnd w:id="17"/>
    </w:p>
    <w:p w14:paraId="44D90E2C">
      <w:r>
        <w:t>本次测试总周期10个工作日，分三个阶段执行，各阶段安排如图4所示：</w:t>
      </w:r>
    </w:p>
    <w:p w14:paraId="703847DA">
      <w:pPr>
        <w:ind w:firstLine="0"/>
        <w:jc w:val="center"/>
      </w:pPr>
      <w:r>
        <w:drawing>
          <wp:inline distT="0" distB="0" distL="114300" distR="114300">
            <wp:extent cx="5579745" cy="2771775"/>
            <wp:effectExtent l="0" t="0" r="190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77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673A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图4 测试计划甘特图</w:t>
      </w:r>
    </w:p>
    <w:p w14:paraId="16468C08">
      <w:pPr>
        <w:ind w:firstLine="0"/>
      </w:pPr>
      <w:r>
        <w:rPr>
          <w:b/>
        </w:rPr>
        <w:t>测试阶段规划：</w:t>
      </w:r>
    </w:p>
    <w:p w14:paraId="5EEE10B8">
      <w:pPr>
        <w:ind w:firstLine="0"/>
      </w:pPr>
      <w:r>
        <w:rPr>
          <w:b/>
        </w:rPr>
        <w:t>第1周（10.13-10.17）：功能测试阶段</w:t>
      </w:r>
    </w:p>
    <w:p w14:paraId="3CF25A69">
      <w:pPr>
        <w:pStyle w:val="16"/>
        <w:ind w:left="420" w:firstLine="0"/>
      </w:pPr>
      <w:r>
        <w:rPr>
          <w:rFonts w:ascii="Arial" w:hAnsi="Arial" w:eastAsia="宋体"/>
          <w:sz w:val="24"/>
        </w:rPr>
        <w:t>10.13：冒烟测试、环境搭建、测试数据准备</w:t>
      </w:r>
    </w:p>
    <w:p w14:paraId="48D10095">
      <w:pPr>
        <w:pStyle w:val="16"/>
        <w:ind w:left="420" w:firstLine="0"/>
      </w:pPr>
      <w:r>
        <w:rPr>
          <w:rFonts w:ascii="Arial" w:hAnsi="Arial" w:eastAsia="宋体"/>
          <w:sz w:val="24"/>
        </w:rPr>
        <w:t>10.14-10.16：核心支付功能测试（扫码/转账/退款/多渠道）</w:t>
      </w:r>
    </w:p>
    <w:p w14:paraId="2AFC3219">
      <w:pPr>
        <w:pStyle w:val="16"/>
        <w:ind w:left="420" w:firstLine="0"/>
      </w:pPr>
      <w:r>
        <w:rPr>
          <w:rFonts w:ascii="Arial" w:hAnsi="Arial" w:eastAsia="宋体"/>
          <w:sz w:val="24"/>
        </w:rPr>
        <w:t>10.17：第一阶段回归测试</w:t>
      </w:r>
    </w:p>
    <w:p w14:paraId="71D88B93">
      <w:pPr>
        <w:ind w:firstLine="0"/>
      </w:pPr>
      <w:r>
        <w:rPr>
          <w:b/>
        </w:rPr>
        <w:t>第2周（10.20-10.24）：专项测试阶段</w:t>
      </w:r>
    </w:p>
    <w:p w14:paraId="163573AB">
      <w:pPr>
        <w:pStyle w:val="16"/>
        <w:ind w:left="420" w:firstLine="0"/>
      </w:pPr>
      <w:r>
        <w:rPr>
          <w:rFonts w:ascii="Arial" w:hAnsi="Arial" w:eastAsia="宋体"/>
          <w:sz w:val="24"/>
        </w:rPr>
        <w:t>10.20-10.21：兼容性测试（30款设备）</w:t>
      </w:r>
    </w:p>
    <w:p w14:paraId="27D761FA">
      <w:pPr>
        <w:pStyle w:val="16"/>
        <w:ind w:left="420" w:firstLine="0"/>
      </w:pPr>
      <w:r>
        <w:rPr>
          <w:rFonts w:ascii="Arial" w:hAnsi="Arial" w:eastAsia="宋体"/>
          <w:sz w:val="24"/>
        </w:rPr>
        <w:t>10.22：性能测试与高并发压测</w:t>
      </w:r>
    </w:p>
    <w:p w14:paraId="74C8C3B4">
      <w:pPr>
        <w:pStyle w:val="16"/>
        <w:ind w:left="420" w:firstLine="0"/>
      </w:pPr>
      <w:r>
        <w:rPr>
          <w:rFonts w:ascii="Arial" w:hAnsi="Arial" w:eastAsia="宋体"/>
          <w:sz w:val="24"/>
        </w:rPr>
        <w:t>10.23：安全测试与风控验证</w:t>
      </w:r>
    </w:p>
    <w:p w14:paraId="4182B8E0">
      <w:pPr>
        <w:pStyle w:val="16"/>
        <w:ind w:left="420" w:firstLine="0"/>
      </w:pPr>
      <w:r>
        <w:rPr>
          <w:rFonts w:ascii="Arial" w:hAnsi="Arial" w:eastAsia="宋体"/>
          <w:sz w:val="24"/>
        </w:rPr>
        <w:t>10.24：完整回归测试</w:t>
      </w:r>
    </w:p>
    <w:p w14:paraId="504BAB9E">
      <w:pPr>
        <w:ind w:firstLine="0"/>
      </w:pPr>
      <w:r>
        <w:rPr>
          <w:b/>
        </w:rPr>
        <w:t>第3周初（10.25-10.26）：收尾阶段</w:t>
      </w:r>
    </w:p>
    <w:p w14:paraId="67B3A4C8">
      <w:pPr>
        <w:pStyle w:val="16"/>
        <w:ind w:left="420" w:firstLine="0"/>
      </w:pPr>
      <w:r>
        <w:rPr>
          <w:rFonts w:ascii="Arial" w:hAnsi="Arial" w:eastAsia="宋体"/>
          <w:sz w:val="24"/>
        </w:rPr>
        <w:t>10.25：验收测试、账务对账验证</w:t>
      </w:r>
    </w:p>
    <w:p w14:paraId="50D27B2A">
      <w:pPr>
        <w:pStyle w:val="16"/>
        <w:ind w:left="420" w:firstLine="0"/>
      </w:pPr>
      <w:r>
        <w:rPr>
          <w:rFonts w:ascii="Arial" w:hAnsi="Arial" w:eastAsia="宋体"/>
          <w:sz w:val="24"/>
        </w:rPr>
        <w:t>10.26：上线准备、灰度方案、文档整理</w:t>
      </w:r>
    </w:p>
    <w:p w14:paraId="6C6B253A">
      <w:pPr>
        <w:pStyle w:val="4"/>
      </w:pPr>
      <w:bookmarkStart w:id="18" w:name="_Toc700"/>
      <w:r>
        <w:t>4.3 资源需求与分配</w:t>
      </w:r>
      <w:bookmarkEnd w:id="18"/>
    </w:p>
    <w:p w14:paraId="3ED6C8C9">
      <w:pPr>
        <w:ind w:firstLine="0"/>
      </w:pPr>
      <w:r>
        <w:rPr>
          <w:b/>
        </w:rPr>
        <w:t>人力资源：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4"/>
        <w:gridCol w:w="5102"/>
      </w:tblGrid>
      <w:tr w14:paraId="6733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20EDDFA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角色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5A8D25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人数</w:t>
            </w:r>
          </w:p>
        </w:tc>
        <w:tc>
          <w:tcPr>
            <w:tcW w:w="5102" w:type="dxa"/>
            <w:shd w:val="clear" w:color="auto" w:fill="D9D9D9"/>
            <w:vAlign w:val="center"/>
          </w:tcPr>
          <w:p w14:paraId="63F3CB2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职责</w:t>
            </w:r>
          </w:p>
        </w:tc>
      </w:tr>
      <w:tr w14:paraId="64C7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7D013BF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测试负责人</w:t>
            </w:r>
          </w:p>
        </w:tc>
        <w:tc>
          <w:tcPr>
            <w:tcW w:w="1134" w:type="dxa"/>
            <w:vAlign w:val="center"/>
          </w:tcPr>
          <w:p w14:paraId="5519B7B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1人</w:t>
            </w:r>
          </w:p>
        </w:tc>
        <w:tc>
          <w:tcPr>
            <w:tcW w:w="5102" w:type="dxa"/>
            <w:vAlign w:val="center"/>
          </w:tcPr>
          <w:p w14:paraId="7FF1D63E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整体协调、计划跟踪、风险管控、上线决策</w:t>
            </w:r>
          </w:p>
        </w:tc>
      </w:tr>
      <w:tr w14:paraId="6AC5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1E09916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功能测试工程师</w:t>
            </w:r>
          </w:p>
        </w:tc>
        <w:tc>
          <w:tcPr>
            <w:tcW w:w="1134" w:type="dxa"/>
            <w:vAlign w:val="center"/>
          </w:tcPr>
          <w:p w14:paraId="69C7DEA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2人</w:t>
            </w:r>
          </w:p>
        </w:tc>
        <w:tc>
          <w:tcPr>
            <w:tcW w:w="5102" w:type="dxa"/>
            <w:vAlign w:val="center"/>
          </w:tcPr>
          <w:p w14:paraId="6B76F58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支付功能测试、用例执行、缺陷跟踪、对账验证</w:t>
            </w:r>
          </w:p>
        </w:tc>
      </w:tr>
      <w:tr w14:paraId="7B22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713FD37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专项测试工程师</w:t>
            </w:r>
          </w:p>
        </w:tc>
        <w:tc>
          <w:tcPr>
            <w:tcW w:w="1134" w:type="dxa"/>
            <w:vAlign w:val="center"/>
          </w:tcPr>
          <w:p w14:paraId="4FF9186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1人</w:t>
            </w:r>
          </w:p>
        </w:tc>
        <w:tc>
          <w:tcPr>
            <w:tcW w:w="5102" w:type="dxa"/>
            <w:vAlign w:val="center"/>
          </w:tcPr>
          <w:p w14:paraId="42546711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兼容性、性能压测、安全渗透测试</w:t>
            </w:r>
          </w:p>
        </w:tc>
      </w:tr>
    </w:tbl>
    <w:p w14:paraId="67A37F5E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表7 人力资源分配表</w:t>
      </w:r>
    </w:p>
    <w:p w14:paraId="01398E72">
      <w:pPr>
        <w:ind w:firstLine="0"/>
      </w:pPr>
      <w:r>
        <w:rPr>
          <w:b/>
        </w:rPr>
        <w:t>环境资源：</w:t>
      </w:r>
    </w:p>
    <w:p w14:paraId="6C9800A1">
      <w:pPr>
        <w:pStyle w:val="16"/>
        <w:ind w:left="420" w:firstLine="0"/>
      </w:pPr>
      <w:r>
        <w:rPr>
          <w:rFonts w:ascii="Arial" w:hAnsi="Arial" w:eastAsia="宋体"/>
          <w:sz w:val="24"/>
        </w:rPr>
        <w:t>测试服务器：4核8G配置×4台（支付/账务/风控/渠道）</w:t>
      </w:r>
    </w:p>
    <w:p w14:paraId="1CBFD225">
      <w:pPr>
        <w:pStyle w:val="16"/>
        <w:ind w:left="420" w:firstLine="0"/>
      </w:pPr>
      <w:r>
        <w:rPr>
          <w:rFonts w:ascii="Arial" w:hAnsi="Arial" w:eastAsia="宋体"/>
          <w:sz w:val="24"/>
        </w:rPr>
        <w:t>移动测试设备：iOS/Android各8台主流机型</w:t>
      </w:r>
    </w:p>
    <w:p w14:paraId="410080F2">
      <w:pPr>
        <w:pStyle w:val="16"/>
        <w:ind w:left="420" w:firstLine="0"/>
      </w:pPr>
      <w:r>
        <w:rPr>
          <w:rFonts w:ascii="Arial" w:hAnsi="Arial" w:eastAsia="宋体"/>
          <w:sz w:val="24"/>
        </w:rPr>
        <w:t>硬件设备：POS机2台、扫码枪2个、智能手环1个</w:t>
      </w:r>
    </w:p>
    <w:p w14:paraId="5407161A">
      <w:pPr>
        <w:pStyle w:val="16"/>
        <w:ind w:left="420" w:firstLine="0"/>
      </w:pPr>
      <w:r>
        <w:rPr>
          <w:rFonts w:ascii="Arial" w:hAnsi="Arial" w:eastAsia="宋体"/>
          <w:sz w:val="24"/>
        </w:rPr>
        <w:t>云真机平台：3000元预算，覆盖30+机型</w:t>
      </w:r>
    </w:p>
    <w:p w14:paraId="52767B3D">
      <w:pPr>
        <w:pStyle w:val="16"/>
        <w:ind w:left="420" w:firstLine="0"/>
      </w:pPr>
      <w:r>
        <w:rPr>
          <w:rFonts w:ascii="Arial" w:hAnsi="Arial" w:eastAsia="宋体"/>
          <w:sz w:val="24"/>
        </w:rPr>
        <w:t>测试工具：JMeter、Burp Suite、Postman、Charles</w:t>
      </w:r>
    </w:p>
    <w:p w14:paraId="3B57C678">
      <w:pPr>
        <w:pStyle w:val="16"/>
        <w:ind w:left="420" w:firstLine="0"/>
      </w:pPr>
      <w:r>
        <w:rPr>
          <w:rFonts w:ascii="Arial" w:hAnsi="Arial" w:eastAsia="宋体"/>
          <w:sz w:val="24"/>
        </w:rPr>
        <w:t>测试数据：沙箱环境、模拟银行渠道、测试商户账号</w:t>
      </w:r>
    </w:p>
    <w:p w14:paraId="57390397">
      <w:r>
        <w:br w:type="page"/>
      </w:r>
    </w:p>
    <w:p w14:paraId="197042F8">
      <w:pPr>
        <w:pStyle w:val="3"/>
      </w:pPr>
      <w:bookmarkStart w:id="19" w:name="_Toc27459"/>
      <w:r>
        <w:t>5. 团队与能力</w:t>
      </w:r>
      <w:bookmarkEnd w:id="19"/>
    </w:p>
    <w:p w14:paraId="0F68996B">
      <w:pPr>
        <w:pStyle w:val="4"/>
      </w:pPr>
      <w:bookmarkStart w:id="20" w:name="_Toc23178"/>
      <w:r>
        <w:t>5.1 团队能力现状评估</w:t>
      </w:r>
      <w:bookmarkEnd w:id="20"/>
    </w:p>
    <w:p w14:paraId="3AAEA69B">
      <w:r>
        <w:t>从技术栈、工具链、流程规范、人员时间四个维度评估（满分10分），当前与目标对比如图5所示：</w:t>
      </w:r>
    </w:p>
    <w:p w14:paraId="0CF4EC3B">
      <w:pPr>
        <w:ind w:firstLine="0"/>
        <w:jc w:val="center"/>
      </w:pPr>
      <w:r>
        <w:drawing>
          <wp:inline distT="0" distB="0" distL="114300" distR="114300">
            <wp:extent cx="4319905" cy="3793490"/>
            <wp:effectExtent l="0" t="0" r="4445" b="165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9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36BAF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图5 团队能力评估雷达图</w:t>
      </w:r>
    </w:p>
    <w:p w14:paraId="6B69ABBB">
      <w:pPr>
        <w:ind w:firstLine="0"/>
      </w:pPr>
      <w:r>
        <w:rPr>
          <w:b/>
        </w:rPr>
        <w:t>技术栈（评分：7/10）：</w:t>
      </w:r>
    </w:p>
    <w:p w14:paraId="2837C6D9">
      <w:pPr>
        <w:pStyle w:val="16"/>
        <w:ind w:left="420" w:firstLine="0"/>
      </w:pPr>
      <w:r>
        <w:rPr>
          <w:rFonts w:ascii="Arial" w:hAnsi="Arial" w:eastAsia="宋体"/>
          <w:sz w:val="24"/>
        </w:rPr>
        <w:t>功能测试：熟练（8/10）</w:t>
      </w:r>
    </w:p>
    <w:p w14:paraId="78301EF0">
      <w:pPr>
        <w:pStyle w:val="16"/>
        <w:ind w:left="420" w:firstLine="0"/>
      </w:pPr>
      <w:r>
        <w:rPr>
          <w:rFonts w:ascii="Arial" w:hAnsi="Arial" w:eastAsia="宋体"/>
          <w:sz w:val="24"/>
        </w:rPr>
        <w:t>自动化测试：基础（6/10）</w:t>
      </w:r>
    </w:p>
    <w:p w14:paraId="3A72D817">
      <w:pPr>
        <w:pStyle w:val="16"/>
        <w:ind w:left="420" w:firstLine="0"/>
      </w:pPr>
      <w:r>
        <w:rPr>
          <w:rFonts w:ascii="Arial" w:hAnsi="Arial" w:eastAsia="宋体"/>
          <w:sz w:val="24"/>
        </w:rPr>
        <w:t>性能测试：良好（7/10）</w:t>
      </w:r>
    </w:p>
    <w:p w14:paraId="4CC4C901">
      <w:pPr>
        <w:pStyle w:val="16"/>
        <w:ind w:left="420" w:firstLine="0"/>
      </w:pPr>
      <w:r>
        <w:rPr>
          <w:rFonts w:ascii="Arial" w:hAnsi="Arial" w:eastAsia="宋体"/>
          <w:sz w:val="24"/>
        </w:rPr>
        <w:t>安全测试：良好（7/10）</w:t>
      </w:r>
    </w:p>
    <w:p w14:paraId="0155430C">
      <w:pPr>
        <w:ind w:firstLine="0"/>
      </w:pPr>
      <w:r>
        <w:rPr>
          <w:b/>
        </w:rPr>
        <w:t>工具链（评分：6/10）：</w:t>
      </w:r>
    </w:p>
    <w:p w14:paraId="2961720C">
      <w:pPr>
        <w:pStyle w:val="16"/>
        <w:ind w:left="420" w:firstLine="0"/>
      </w:pPr>
      <w:r>
        <w:rPr>
          <w:rFonts w:ascii="Arial" w:hAnsi="Arial" w:eastAsia="宋体"/>
          <w:sz w:val="24"/>
        </w:rPr>
        <w:t>测试管理：禅道/Jira，使用熟练</w:t>
      </w:r>
    </w:p>
    <w:p w14:paraId="1B58E7C3">
      <w:pPr>
        <w:pStyle w:val="16"/>
        <w:ind w:left="420" w:firstLine="0"/>
      </w:pPr>
      <w:r>
        <w:rPr>
          <w:rFonts w:ascii="Arial" w:hAnsi="Arial" w:eastAsia="宋体"/>
          <w:sz w:val="24"/>
        </w:rPr>
        <w:t>自动化框架：Appium+TestNG，基础搭建</w:t>
      </w:r>
    </w:p>
    <w:p w14:paraId="28D84EBB">
      <w:pPr>
        <w:pStyle w:val="16"/>
        <w:ind w:left="420" w:firstLine="0"/>
      </w:pPr>
      <w:r>
        <w:rPr>
          <w:rFonts w:ascii="Arial" w:hAnsi="Arial" w:eastAsia="宋体"/>
          <w:sz w:val="24"/>
        </w:rPr>
        <w:t>CI/CD：Jenkins+GitLab CI，初步集成</w:t>
      </w:r>
    </w:p>
    <w:p w14:paraId="7184775A">
      <w:pPr>
        <w:pStyle w:val="16"/>
        <w:ind w:left="420" w:firstLine="0"/>
      </w:pPr>
      <w:r>
        <w:rPr>
          <w:rFonts w:ascii="Arial" w:hAnsi="Arial" w:eastAsia="宋体"/>
          <w:sz w:val="24"/>
        </w:rPr>
        <w:t>监控工具：ARMS/Prometheus，基本使用</w:t>
      </w:r>
    </w:p>
    <w:p w14:paraId="7671C3E0">
      <w:pPr>
        <w:ind w:firstLine="0"/>
      </w:pPr>
      <w:r>
        <w:rPr>
          <w:b/>
        </w:rPr>
        <w:t>流程规范（评分：8/10）：</w:t>
      </w:r>
    </w:p>
    <w:p w14:paraId="03BB86AC">
      <w:pPr>
        <w:pStyle w:val="16"/>
        <w:ind w:left="420" w:firstLine="0"/>
      </w:pPr>
      <w:r>
        <w:rPr>
          <w:rFonts w:ascii="Arial" w:hAnsi="Arial" w:eastAsia="宋体"/>
          <w:sz w:val="24"/>
        </w:rPr>
        <w:t>测试用例设计：规范完善，支付场景覆盖全面</w:t>
      </w:r>
    </w:p>
    <w:p w14:paraId="164A0EE2">
      <w:pPr>
        <w:pStyle w:val="16"/>
        <w:ind w:left="420" w:firstLine="0"/>
      </w:pPr>
      <w:r>
        <w:rPr>
          <w:rFonts w:ascii="Arial" w:hAnsi="Arial" w:eastAsia="宋体"/>
          <w:sz w:val="24"/>
        </w:rPr>
        <w:t>缺陷管理：流程清晰，资损缺陷紧急通道</w:t>
      </w:r>
    </w:p>
    <w:p w14:paraId="676F7C96">
      <w:pPr>
        <w:pStyle w:val="16"/>
        <w:ind w:left="420" w:firstLine="0"/>
      </w:pPr>
      <w:r>
        <w:rPr>
          <w:rFonts w:ascii="Arial" w:hAnsi="Arial" w:eastAsia="宋体"/>
          <w:sz w:val="24"/>
        </w:rPr>
        <w:t>敏捷实践：成熟，双周迭代节奏稳定</w:t>
      </w:r>
    </w:p>
    <w:p w14:paraId="56402136">
      <w:pPr>
        <w:ind w:firstLine="0"/>
      </w:pPr>
      <w:r>
        <w:rPr>
          <w:b/>
        </w:rPr>
        <w:t>人员时间（评分：6/10）：</w:t>
      </w:r>
    </w:p>
    <w:p w14:paraId="3F3D1C93">
      <w:pPr>
        <w:pStyle w:val="16"/>
        <w:ind w:left="420" w:firstLine="0"/>
      </w:pPr>
      <w:r>
        <w:rPr>
          <w:rFonts w:ascii="Arial" w:hAnsi="Arial" w:eastAsia="宋体"/>
          <w:sz w:val="24"/>
        </w:rPr>
        <w:t>人员数量：基本满足，但专项测试人力紧张</w:t>
      </w:r>
    </w:p>
    <w:p w14:paraId="18643398">
      <w:pPr>
        <w:pStyle w:val="16"/>
        <w:ind w:left="420" w:firstLine="0"/>
      </w:pPr>
      <w:r>
        <w:rPr>
          <w:rFonts w:ascii="Arial" w:hAnsi="Arial" w:eastAsia="宋体"/>
          <w:sz w:val="24"/>
        </w:rPr>
        <w:t>经验分布：中高级为主，缺乏支付安全专家</w:t>
      </w:r>
    </w:p>
    <w:p w14:paraId="040FBE1C">
      <w:pPr>
        <w:pStyle w:val="16"/>
        <w:ind w:left="420" w:firstLine="0"/>
      </w:pPr>
      <w:r>
        <w:rPr>
          <w:rFonts w:ascii="Arial" w:hAnsi="Arial" w:eastAsia="宋体"/>
          <w:sz w:val="24"/>
        </w:rPr>
        <w:t>时间投入：项目压力大，银行联调等待时间多</w:t>
      </w:r>
    </w:p>
    <w:p w14:paraId="1DAD2B44">
      <w:pPr>
        <w:pStyle w:val="4"/>
      </w:pPr>
      <w:bookmarkStart w:id="21" w:name="_Toc23952"/>
      <w:r>
        <w:t>5.2 能力差距分析</w:t>
      </w:r>
      <w:bookmarkEnd w:id="21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268"/>
        <w:gridCol w:w="2835"/>
        <w:gridCol w:w="1701"/>
      </w:tblGrid>
      <w:tr w14:paraId="17CD2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72975B2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能力领域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BBF505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现状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6D6FEB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目标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AA2ABF1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差距程度</w:t>
            </w:r>
          </w:p>
        </w:tc>
      </w:tr>
      <w:tr w14:paraId="4C64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BB2ECE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UI自动化</w:t>
            </w:r>
          </w:p>
        </w:tc>
        <w:tc>
          <w:tcPr>
            <w:tcW w:w="2268" w:type="dxa"/>
            <w:vAlign w:val="center"/>
          </w:tcPr>
          <w:p w14:paraId="357EBF1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核心链路脚本编写</w:t>
            </w:r>
          </w:p>
        </w:tc>
        <w:tc>
          <w:tcPr>
            <w:tcW w:w="2835" w:type="dxa"/>
            <w:vAlign w:val="center"/>
          </w:tcPr>
          <w:p w14:paraId="6A7C9DD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框架设计、CI集成、失败自愈</w:t>
            </w:r>
          </w:p>
        </w:tc>
        <w:tc>
          <w:tcPr>
            <w:tcW w:w="1701" w:type="dxa"/>
            <w:vAlign w:val="center"/>
          </w:tcPr>
          <w:p w14:paraId="0DF0C9B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中</w:t>
            </w:r>
          </w:p>
        </w:tc>
      </w:tr>
      <w:tr w14:paraId="3833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D3132B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性能测试</w:t>
            </w:r>
          </w:p>
        </w:tc>
        <w:tc>
          <w:tcPr>
            <w:tcW w:w="2268" w:type="dxa"/>
            <w:vAlign w:val="center"/>
          </w:tcPr>
          <w:p w14:paraId="0E96B981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压测执行与结果分析</w:t>
            </w:r>
          </w:p>
        </w:tc>
        <w:tc>
          <w:tcPr>
            <w:tcW w:w="2835" w:type="dxa"/>
            <w:vAlign w:val="center"/>
          </w:tcPr>
          <w:p w14:paraId="3A8EE17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全链路性能调优、容量规划</w:t>
            </w:r>
          </w:p>
        </w:tc>
        <w:tc>
          <w:tcPr>
            <w:tcW w:w="1701" w:type="dxa"/>
            <w:vAlign w:val="center"/>
          </w:tcPr>
          <w:p w14:paraId="464EAEF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中</w:t>
            </w:r>
          </w:p>
        </w:tc>
      </w:tr>
      <w:tr w14:paraId="5C490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D7C462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安全测试</w:t>
            </w:r>
          </w:p>
        </w:tc>
        <w:tc>
          <w:tcPr>
            <w:tcW w:w="2268" w:type="dxa"/>
            <w:vAlign w:val="center"/>
          </w:tcPr>
          <w:p w14:paraId="4F47C7AF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基础渗透测试</w:t>
            </w:r>
          </w:p>
        </w:tc>
        <w:tc>
          <w:tcPr>
            <w:tcW w:w="2835" w:type="dxa"/>
            <w:vAlign w:val="center"/>
          </w:tcPr>
          <w:p w14:paraId="77B512EB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支付安全深度攻防、风控建模</w:t>
            </w:r>
          </w:p>
        </w:tc>
        <w:tc>
          <w:tcPr>
            <w:tcW w:w="1701" w:type="dxa"/>
            <w:vAlign w:val="center"/>
          </w:tcPr>
          <w:p w14:paraId="6619B40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大</w:t>
            </w:r>
          </w:p>
        </w:tc>
      </w:tr>
      <w:tr w14:paraId="38FC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2EA70DBF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混沌工程</w:t>
            </w:r>
          </w:p>
        </w:tc>
        <w:tc>
          <w:tcPr>
            <w:tcW w:w="2268" w:type="dxa"/>
            <w:vAlign w:val="center"/>
          </w:tcPr>
          <w:p w14:paraId="5263B4F8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概念了解</w:t>
            </w:r>
          </w:p>
        </w:tc>
        <w:tc>
          <w:tcPr>
            <w:tcW w:w="2835" w:type="dxa"/>
            <w:vAlign w:val="center"/>
          </w:tcPr>
          <w:p w14:paraId="6355B6E5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故障注入演练、系统韧性验证</w:t>
            </w:r>
          </w:p>
        </w:tc>
        <w:tc>
          <w:tcPr>
            <w:tcW w:w="1701" w:type="dxa"/>
            <w:vAlign w:val="center"/>
          </w:tcPr>
          <w:p w14:paraId="1505E67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大</w:t>
            </w:r>
          </w:p>
        </w:tc>
      </w:tr>
      <w:tr w14:paraId="4CFF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A1DDF1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测试开发</w:t>
            </w:r>
          </w:p>
        </w:tc>
        <w:tc>
          <w:tcPr>
            <w:tcW w:w="2268" w:type="dxa"/>
            <w:vAlign w:val="center"/>
          </w:tcPr>
          <w:p w14:paraId="4518A1E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简单脚本工具</w:t>
            </w:r>
          </w:p>
        </w:tc>
        <w:tc>
          <w:tcPr>
            <w:tcW w:w="2835" w:type="dxa"/>
            <w:vAlign w:val="center"/>
          </w:tcPr>
          <w:p w14:paraId="19DD1835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平台建设、测试效能工具开发</w:t>
            </w:r>
          </w:p>
        </w:tc>
        <w:tc>
          <w:tcPr>
            <w:tcW w:w="1701" w:type="dxa"/>
            <w:vAlign w:val="center"/>
          </w:tcPr>
          <w:p w14:paraId="32933B0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大</w:t>
            </w:r>
          </w:p>
        </w:tc>
      </w:tr>
    </w:tbl>
    <w:p w14:paraId="2471B01A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表8 能力差距分析表</w:t>
      </w:r>
    </w:p>
    <w:p w14:paraId="0F35E69E">
      <w:pPr>
        <w:pStyle w:val="4"/>
      </w:pPr>
      <w:bookmarkStart w:id="22" w:name="_Toc16284"/>
      <w:r>
        <w:t>5.3 改进路线图规划</w:t>
      </w:r>
      <w:bookmarkEnd w:id="22"/>
    </w:p>
    <w:p w14:paraId="1DFA42D5">
      <w:pPr>
        <w:ind w:firstLine="0"/>
      </w:pPr>
      <w:r>
        <w:rPr>
          <w:b/>
        </w:rPr>
        <w:t>短期（1个月内）：</w:t>
      </w:r>
    </w:p>
    <w:p w14:paraId="3414B191">
      <w:pPr>
        <w:pStyle w:val="16"/>
        <w:ind w:left="420" w:firstLine="0"/>
      </w:pPr>
      <w:r>
        <w:rPr>
          <w:rFonts w:ascii="Arial" w:hAnsi="Arial" w:eastAsia="宋体"/>
          <w:sz w:val="24"/>
        </w:rPr>
        <w:t>引入云真机平台，解决设备覆盖不足问题</w:t>
      </w:r>
    </w:p>
    <w:p w14:paraId="7FD1B66A">
      <w:pPr>
        <w:pStyle w:val="16"/>
        <w:ind w:left="420" w:firstLine="0"/>
      </w:pPr>
      <w:r>
        <w:rPr>
          <w:rFonts w:ascii="Arial" w:hAnsi="Arial" w:eastAsia="宋体"/>
          <w:sz w:val="24"/>
        </w:rPr>
        <w:t>组织2次支付安全测试内部培训</w:t>
      </w:r>
    </w:p>
    <w:p w14:paraId="2D914BCC">
      <w:pPr>
        <w:pStyle w:val="16"/>
        <w:ind w:left="420" w:firstLine="0"/>
      </w:pPr>
      <w:r>
        <w:rPr>
          <w:rFonts w:ascii="Arial" w:hAnsi="Arial" w:eastAsia="宋体"/>
          <w:sz w:val="24"/>
        </w:rPr>
        <w:t>完善支付核心链路自动化脚本，覆盖率提升至60%</w:t>
      </w:r>
    </w:p>
    <w:p w14:paraId="20CF8C4F">
      <w:pPr>
        <w:pStyle w:val="16"/>
        <w:ind w:left="420" w:firstLine="0"/>
      </w:pPr>
      <w:r>
        <w:rPr>
          <w:rFonts w:ascii="Arial" w:hAnsi="Arial" w:eastAsia="宋体"/>
          <w:sz w:val="24"/>
        </w:rPr>
        <w:t>建立银行渠道联调测试环境，减少外部依赖</w:t>
      </w:r>
    </w:p>
    <w:p w14:paraId="4ABD0255">
      <w:pPr>
        <w:ind w:firstLine="0"/>
      </w:pPr>
      <w:r>
        <w:rPr>
          <w:b/>
        </w:rPr>
        <w:t>中期（1-3个月）：</w:t>
      </w:r>
    </w:p>
    <w:p w14:paraId="33CE70EC">
      <w:pPr>
        <w:pStyle w:val="16"/>
        <w:ind w:left="420" w:firstLine="0"/>
      </w:pPr>
      <w:r>
        <w:rPr>
          <w:rFonts w:ascii="Arial" w:hAnsi="Arial" w:eastAsia="宋体"/>
          <w:sz w:val="24"/>
        </w:rPr>
        <w:t>搭建全链路性能压测平台，支持双11预演</w:t>
      </w:r>
    </w:p>
    <w:p w14:paraId="73A31C1E">
      <w:pPr>
        <w:pStyle w:val="16"/>
        <w:ind w:left="420" w:firstLine="0"/>
      </w:pPr>
      <w:r>
        <w:rPr>
          <w:rFonts w:ascii="Arial" w:hAnsi="Arial" w:eastAsia="宋体"/>
          <w:sz w:val="24"/>
        </w:rPr>
        <w:t>引入混沌工程工具，开展故障注入演练</w:t>
      </w:r>
    </w:p>
    <w:p w14:paraId="6D9CFDC4">
      <w:pPr>
        <w:pStyle w:val="16"/>
        <w:ind w:left="420" w:firstLine="0"/>
      </w:pPr>
      <w:r>
        <w:rPr>
          <w:rFonts w:ascii="Arial" w:hAnsi="Arial" w:eastAsia="宋体"/>
          <w:sz w:val="24"/>
        </w:rPr>
        <w:t>参加外部支付安全专业培训，培养1名安全专项人才</w:t>
      </w:r>
    </w:p>
    <w:p w14:paraId="3FFDF781">
      <w:pPr>
        <w:pStyle w:val="16"/>
        <w:ind w:left="420" w:firstLine="0"/>
      </w:pPr>
      <w:r>
        <w:rPr>
          <w:rFonts w:ascii="Arial" w:hAnsi="Arial" w:eastAsia="宋体"/>
          <w:sz w:val="24"/>
        </w:rPr>
        <w:t>建设CI/CD流水线，自动化回归融入发布流程</w:t>
      </w:r>
    </w:p>
    <w:p w14:paraId="7DE54E76">
      <w:pPr>
        <w:ind w:firstLine="0"/>
      </w:pPr>
      <w:r>
        <w:rPr>
          <w:b/>
        </w:rPr>
        <w:t>长期（3-6个月）：</w:t>
      </w:r>
    </w:p>
    <w:p w14:paraId="656BD46F">
      <w:pPr>
        <w:pStyle w:val="16"/>
        <w:ind w:left="420" w:firstLine="0"/>
      </w:pPr>
      <w:r>
        <w:rPr>
          <w:rFonts w:ascii="Arial" w:hAnsi="Arial" w:eastAsia="宋体"/>
          <w:sz w:val="24"/>
        </w:rPr>
        <w:t>建立完整的支付测试效能平台（用例/执行/度量一体化）</w:t>
      </w:r>
    </w:p>
    <w:p w14:paraId="0EFB03B0">
      <w:pPr>
        <w:pStyle w:val="16"/>
        <w:ind w:left="420" w:firstLine="0"/>
      </w:pPr>
      <w:r>
        <w:rPr>
          <w:rFonts w:ascii="Arial" w:hAnsi="Arial" w:eastAsia="宋体"/>
          <w:sz w:val="24"/>
        </w:rPr>
        <w:t>培养2名性能+安全双专项人才</w:t>
      </w:r>
    </w:p>
    <w:p w14:paraId="30D11873">
      <w:pPr>
        <w:pStyle w:val="16"/>
        <w:ind w:left="420" w:firstLine="0"/>
      </w:pPr>
      <w:r>
        <w:rPr>
          <w:rFonts w:ascii="Arial" w:hAnsi="Arial" w:eastAsia="宋体"/>
          <w:sz w:val="24"/>
        </w:rPr>
        <w:t>AI赋能测试：智能用例推荐、异常交易自动检测</w:t>
      </w:r>
    </w:p>
    <w:p w14:paraId="03FC8240">
      <w:pPr>
        <w:pStyle w:val="16"/>
        <w:ind w:left="420" w:firstLine="0"/>
      </w:pPr>
      <w:r>
        <w:rPr>
          <w:rFonts w:ascii="Arial" w:hAnsi="Arial" w:eastAsia="宋体"/>
          <w:sz w:val="24"/>
        </w:rPr>
        <w:t>形成支付领域测试方法论和最佳实践库</w:t>
      </w:r>
    </w:p>
    <w:p w14:paraId="0A39A341">
      <w:pPr>
        <w:pStyle w:val="4"/>
      </w:pPr>
      <w:bookmarkStart w:id="23" w:name="_Toc32530"/>
      <w:r>
        <w:t>5.4 资源需求</w:t>
      </w:r>
      <w:bookmarkEnd w:id="23"/>
    </w:p>
    <w:p w14:paraId="2BE9E090">
      <w:pPr>
        <w:ind w:firstLine="0"/>
      </w:pPr>
      <w:r>
        <w:rPr>
          <w:b/>
        </w:rPr>
        <w:t>培训资源：</w:t>
      </w:r>
    </w:p>
    <w:p w14:paraId="638ABBC8">
      <w:pPr>
        <w:pStyle w:val="16"/>
        <w:ind w:left="420" w:firstLine="0"/>
      </w:pPr>
      <w:r>
        <w:rPr>
          <w:rFonts w:ascii="Arial" w:hAnsi="Arial" w:eastAsia="宋体"/>
          <w:sz w:val="24"/>
        </w:rPr>
        <w:t>外部培训预算：8000元（支付安全+性能调优）</w:t>
      </w:r>
    </w:p>
    <w:p w14:paraId="0FD3B30F">
      <w:pPr>
        <w:pStyle w:val="16"/>
        <w:ind w:left="420" w:firstLine="0"/>
      </w:pPr>
      <w:r>
        <w:rPr>
          <w:rFonts w:ascii="Arial" w:hAnsi="Arial" w:eastAsia="宋体"/>
          <w:sz w:val="24"/>
        </w:rPr>
        <w:t>技术书籍采购：1500元</w:t>
      </w:r>
    </w:p>
    <w:p w14:paraId="7A7A9F67">
      <w:pPr>
        <w:pStyle w:val="16"/>
        <w:ind w:left="420" w:firstLine="0"/>
      </w:pPr>
      <w:r>
        <w:rPr>
          <w:rFonts w:ascii="Arial" w:hAnsi="Arial" w:eastAsia="宋体"/>
          <w:sz w:val="24"/>
        </w:rPr>
        <w:t>内部分享时间：每周2小时</w:t>
      </w:r>
    </w:p>
    <w:p w14:paraId="3D5FB929">
      <w:pPr>
        <w:ind w:firstLine="0"/>
      </w:pPr>
      <w:r>
        <w:rPr>
          <w:b/>
        </w:rPr>
        <w:t>工具资源：</w:t>
      </w:r>
    </w:p>
    <w:p w14:paraId="3481477D">
      <w:pPr>
        <w:pStyle w:val="16"/>
        <w:ind w:left="420" w:firstLine="0"/>
      </w:pPr>
      <w:r>
        <w:rPr>
          <w:rFonts w:ascii="Arial" w:hAnsi="Arial" w:eastAsia="宋体"/>
          <w:sz w:val="24"/>
        </w:rPr>
        <w:t>自动化工具许可证：3个席位</w:t>
      </w:r>
    </w:p>
    <w:p w14:paraId="1792A946">
      <w:pPr>
        <w:pStyle w:val="16"/>
        <w:ind w:left="420" w:firstLine="0"/>
      </w:pPr>
      <w:r>
        <w:rPr>
          <w:rFonts w:ascii="Arial" w:hAnsi="Arial" w:eastAsia="宋体"/>
          <w:sz w:val="24"/>
        </w:rPr>
        <w:t>性能压测工具：JMeter+Gatling</w:t>
      </w:r>
    </w:p>
    <w:p w14:paraId="23780AC7">
      <w:pPr>
        <w:pStyle w:val="16"/>
        <w:ind w:left="420" w:firstLine="0"/>
      </w:pPr>
      <w:r>
        <w:rPr>
          <w:rFonts w:ascii="Arial" w:hAnsi="Arial" w:eastAsia="宋体"/>
          <w:sz w:val="24"/>
        </w:rPr>
        <w:t>安全测试工具：Burp Suite Professional</w:t>
      </w:r>
    </w:p>
    <w:p w14:paraId="3D594DAA">
      <w:pPr>
        <w:pStyle w:val="16"/>
        <w:ind w:left="420" w:firstLine="0"/>
      </w:pPr>
      <w:r>
        <w:rPr>
          <w:rFonts w:ascii="Arial" w:hAnsi="Arial" w:eastAsia="宋体"/>
          <w:sz w:val="24"/>
        </w:rPr>
        <w:t>云测试平台：3000元/月预算</w:t>
      </w:r>
    </w:p>
    <w:p w14:paraId="30EF5737">
      <w:pPr>
        <w:pStyle w:val="16"/>
        <w:ind w:left="420" w:firstLine="0"/>
      </w:pPr>
      <w:r>
        <w:rPr>
          <w:rFonts w:ascii="Arial" w:hAnsi="Arial" w:eastAsia="宋体"/>
          <w:sz w:val="24"/>
        </w:rPr>
        <w:t>混沌工程工具：ChaosBlade（开源）</w:t>
      </w:r>
    </w:p>
    <w:p w14:paraId="2FF78186">
      <w:r>
        <w:br w:type="page"/>
      </w:r>
    </w:p>
    <w:p w14:paraId="14784623">
      <w:pPr>
        <w:pStyle w:val="3"/>
      </w:pPr>
      <w:bookmarkStart w:id="24" w:name="_Toc23316"/>
      <w:r>
        <w:t>6. 风险评估</w:t>
      </w:r>
      <w:bookmarkEnd w:id="24"/>
    </w:p>
    <w:p w14:paraId="60A13F66">
      <w:pPr>
        <w:pStyle w:val="4"/>
      </w:pPr>
      <w:bookmarkStart w:id="25" w:name="_Toc22095"/>
      <w:r>
        <w:t>6.1 主要风险识别</w:t>
      </w:r>
      <w:bookmarkEnd w:id="25"/>
    </w:p>
    <w:p w14:paraId="6B815418">
      <w:r>
        <w:t>采用"概率×影响"二维矩阵法评估，风险分布如图6所示：</w:t>
      </w:r>
    </w:p>
    <w:p w14:paraId="29CBDB64">
      <w:pPr>
        <w:ind w:firstLine="0"/>
        <w:jc w:val="center"/>
      </w:pPr>
      <w:r>
        <w:drawing>
          <wp:inline distT="0" distB="0" distL="114300" distR="114300">
            <wp:extent cx="4679950" cy="3362960"/>
            <wp:effectExtent l="0" t="0" r="635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6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8B8B3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图6 风险评估矩阵——概率×影响</w:t>
      </w:r>
    </w:p>
    <w:p w14:paraId="7C174D74">
      <w:pPr>
        <w:ind w:firstLine="0"/>
      </w:pPr>
      <w:r>
        <w:rPr>
          <w:b/>
        </w:rPr>
        <w:t>高风险项：</w:t>
      </w:r>
    </w:p>
    <w:p w14:paraId="60F57CD2">
      <w:pPr>
        <w:ind w:firstLine="0"/>
      </w:pPr>
      <w:r>
        <w:rPr>
          <w:b/>
        </w:rPr>
        <w:t>1. 资金安全/账务不一致</w:t>
      </w:r>
    </w:p>
    <w:p w14:paraId="2D2D75DD">
      <w:pPr>
        <w:pStyle w:val="16"/>
        <w:ind w:left="420" w:firstLine="0"/>
      </w:pPr>
      <w:r>
        <w:rPr>
          <w:rFonts w:ascii="Arial" w:hAnsi="Arial" w:eastAsia="宋体"/>
          <w:sz w:val="24"/>
        </w:rPr>
        <w:t>概率：中（20%）</w:t>
      </w:r>
    </w:p>
    <w:p w14:paraId="39B27947">
      <w:pPr>
        <w:pStyle w:val="16"/>
        <w:ind w:left="420" w:firstLine="0"/>
      </w:pPr>
      <w:r>
        <w:rPr>
          <w:rFonts w:ascii="Arial" w:hAnsi="Arial" w:eastAsia="宋体"/>
          <w:sz w:val="24"/>
        </w:rPr>
        <w:t>影响：极高（直接资金损失，品牌声誉受损）</w:t>
      </w:r>
    </w:p>
    <w:p w14:paraId="2B47AAFD">
      <w:pPr>
        <w:pStyle w:val="16"/>
        <w:ind w:left="420" w:firstLine="0"/>
      </w:pPr>
      <w:r>
        <w:rPr>
          <w:rFonts w:ascii="Arial" w:hAnsi="Arial" w:eastAsia="宋体"/>
          <w:sz w:val="24"/>
        </w:rPr>
        <w:t>影响度：极高</w:t>
      </w:r>
    </w:p>
    <w:p w14:paraId="6CB8A270">
      <w:pPr>
        <w:ind w:firstLine="0"/>
      </w:pPr>
      <w:r>
        <w:rPr>
          <w:b/>
        </w:rPr>
        <w:t>2. 银行渠道联调不稳定</w:t>
      </w:r>
    </w:p>
    <w:p w14:paraId="0BEDD03E">
      <w:pPr>
        <w:pStyle w:val="16"/>
        <w:ind w:left="420" w:firstLine="0"/>
      </w:pPr>
      <w:r>
        <w:rPr>
          <w:rFonts w:ascii="Arial" w:hAnsi="Arial" w:eastAsia="宋体"/>
          <w:sz w:val="24"/>
        </w:rPr>
        <w:t>概率：中（35%）</w:t>
      </w:r>
    </w:p>
    <w:p w14:paraId="111306B5">
      <w:pPr>
        <w:pStyle w:val="16"/>
        <w:ind w:left="420" w:firstLine="0"/>
      </w:pPr>
      <w:r>
        <w:rPr>
          <w:rFonts w:ascii="Arial" w:hAnsi="Arial" w:eastAsia="宋体"/>
          <w:sz w:val="24"/>
        </w:rPr>
        <w:t>影响：高（测试阻塞，进度延迟）</w:t>
      </w:r>
    </w:p>
    <w:p w14:paraId="45188352">
      <w:pPr>
        <w:pStyle w:val="16"/>
        <w:ind w:left="420" w:firstLine="0"/>
      </w:pPr>
      <w:r>
        <w:rPr>
          <w:rFonts w:ascii="Arial" w:hAnsi="Arial" w:eastAsia="宋体"/>
          <w:sz w:val="24"/>
        </w:rPr>
        <w:t>影响度：高</w:t>
      </w:r>
    </w:p>
    <w:p w14:paraId="5CEC3E7A">
      <w:pPr>
        <w:ind w:firstLine="0"/>
      </w:pPr>
      <w:r>
        <w:rPr>
          <w:b/>
        </w:rPr>
        <w:t>3. 高并发性能不达标</w:t>
      </w:r>
    </w:p>
    <w:p w14:paraId="1C28D0B1">
      <w:pPr>
        <w:pStyle w:val="16"/>
        <w:ind w:left="420" w:firstLine="0"/>
      </w:pPr>
      <w:r>
        <w:rPr>
          <w:rFonts w:ascii="Arial" w:hAnsi="Arial" w:eastAsia="宋体"/>
          <w:sz w:val="24"/>
        </w:rPr>
        <w:t>概率：中（30%）</w:t>
      </w:r>
    </w:p>
    <w:p w14:paraId="4FEA4544">
      <w:pPr>
        <w:pStyle w:val="16"/>
        <w:ind w:left="420" w:firstLine="0"/>
      </w:pPr>
      <w:r>
        <w:rPr>
          <w:rFonts w:ascii="Arial" w:hAnsi="Arial" w:eastAsia="宋体"/>
          <w:sz w:val="24"/>
        </w:rPr>
        <w:t>影响：高（双11峰值系统不可用）</w:t>
      </w:r>
    </w:p>
    <w:p w14:paraId="4828629D">
      <w:pPr>
        <w:pStyle w:val="16"/>
        <w:ind w:left="420" w:firstLine="0"/>
      </w:pPr>
      <w:r>
        <w:rPr>
          <w:rFonts w:ascii="Arial" w:hAnsi="Arial" w:eastAsia="宋体"/>
          <w:sz w:val="24"/>
        </w:rPr>
        <w:t>影响度：高</w:t>
      </w:r>
    </w:p>
    <w:p w14:paraId="07D1DAC7">
      <w:pPr>
        <w:ind w:firstLine="0"/>
      </w:pPr>
      <w:r>
        <w:rPr>
          <w:b/>
        </w:rPr>
        <w:t>4. 支付安全漏洞</w:t>
      </w:r>
    </w:p>
    <w:p w14:paraId="1E4DAB6E">
      <w:pPr>
        <w:pStyle w:val="16"/>
        <w:ind w:left="420" w:firstLine="0"/>
      </w:pPr>
      <w:r>
        <w:rPr>
          <w:rFonts w:ascii="Arial" w:hAnsi="Arial" w:eastAsia="宋体"/>
          <w:sz w:val="24"/>
        </w:rPr>
        <w:t>概率：中（25%）</w:t>
      </w:r>
    </w:p>
    <w:p w14:paraId="35482CF5">
      <w:pPr>
        <w:pStyle w:val="16"/>
        <w:ind w:left="420" w:firstLine="0"/>
      </w:pPr>
      <w:r>
        <w:rPr>
          <w:rFonts w:ascii="Arial" w:hAnsi="Arial" w:eastAsia="宋体"/>
          <w:sz w:val="24"/>
        </w:rPr>
        <w:t>影响：高（资金被盗，用户信任危机）</w:t>
      </w:r>
    </w:p>
    <w:p w14:paraId="539EE664">
      <w:pPr>
        <w:pStyle w:val="16"/>
        <w:ind w:left="420" w:firstLine="0"/>
      </w:pPr>
      <w:r>
        <w:rPr>
          <w:rFonts w:ascii="Arial" w:hAnsi="Arial" w:eastAsia="宋体"/>
          <w:sz w:val="24"/>
        </w:rPr>
        <w:t>影响度：高</w:t>
      </w:r>
    </w:p>
    <w:p w14:paraId="2E2E39AF">
      <w:pPr>
        <w:ind w:firstLine="0"/>
      </w:pPr>
      <w:r>
        <w:rPr>
          <w:b/>
        </w:rPr>
        <w:t>中风险项：</w:t>
      </w:r>
    </w:p>
    <w:p w14:paraId="541AAB1A">
      <w:pPr>
        <w:ind w:firstLine="0"/>
      </w:pPr>
      <w:r>
        <w:rPr>
          <w:b/>
        </w:rPr>
        <w:t>5. 测试时间不足</w:t>
      </w:r>
    </w:p>
    <w:p w14:paraId="6BDE134D">
      <w:pPr>
        <w:pStyle w:val="16"/>
        <w:ind w:left="420" w:firstLine="0"/>
      </w:pPr>
      <w:r>
        <w:rPr>
          <w:rFonts w:ascii="Arial" w:hAnsi="Arial" w:eastAsia="宋体"/>
          <w:sz w:val="24"/>
        </w:rPr>
        <w:t>概率：高（60%）</w:t>
      </w:r>
    </w:p>
    <w:p w14:paraId="464D9F75">
      <w:pPr>
        <w:pStyle w:val="16"/>
        <w:ind w:left="420" w:firstLine="0"/>
      </w:pPr>
      <w:r>
        <w:rPr>
          <w:rFonts w:ascii="Arial" w:hAnsi="Arial" w:eastAsia="宋体"/>
          <w:sz w:val="24"/>
        </w:rPr>
        <w:t>影响：中（测试覆盖不全，遗留风险）</w:t>
      </w:r>
    </w:p>
    <w:p w14:paraId="14791876">
      <w:pPr>
        <w:pStyle w:val="16"/>
        <w:ind w:left="420" w:firstLine="0"/>
      </w:pPr>
      <w:r>
        <w:rPr>
          <w:rFonts w:ascii="Arial" w:hAnsi="Arial" w:eastAsia="宋体"/>
          <w:sz w:val="24"/>
        </w:rPr>
        <w:t>影响度：中</w:t>
      </w:r>
    </w:p>
    <w:p w14:paraId="03A39BCC">
      <w:pPr>
        <w:ind w:firstLine="0"/>
      </w:pPr>
      <w:r>
        <w:rPr>
          <w:b/>
        </w:rPr>
        <w:t>6. 兼容性设备覆盖不全</w:t>
      </w:r>
    </w:p>
    <w:p w14:paraId="6A6F33A8">
      <w:pPr>
        <w:pStyle w:val="16"/>
        <w:ind w:left="420" w:firstLine="0"/>
      </w:pPr>
      <w:r>
        <w:rPr>
          <w:rFonts w:ascii="Arial" w:hAnsi="Arial" w:eastAsia="宋体"/>
          <w:sz w:val="24"/>
        </w:rPr>
        <w:t>概率：中（40%）</w:t>
      </w:r>
    </w:p>
    <w:p w14:paraId="3D531D59">
      <w:pPr>
        <w:pStyle w:val="16"/>
        <w:ind w:left="420" w:firstLine="0"/>
      </w:pPr>
      <w:r>
        <w:rPr>
          <w:rFonts w:ascii="Arial" w:hAnsi="Arial" w:eastAsia="宋体"/>
          <w:sz w:val="24"/>
        </w:rPr>
        <w:t>影响：中（部分机型支付异常）</w:t>
      </w:r>
    </w:p>
    <w:p w14:paraId="54A2E2F4">
      <w:pPr>
        <w:pStyle w:val="16"/>
        <w:ind w:left="420" w:firstLine="0"/>
      </w:pPr>
      <w:r>
        <w:rPr>
          <w:rFonts w:ascii="Arial" w:hAnsi="Arial" w:eastAsia="宋体"/>
          <w:sz w:val="24"/>
        </w:rPr>
        <w:t>影响度：中</w:t>
      </w:r>
    </w:p>
    <w:p w14:paraId="0D71A157">
      <w:pPr>
        <w:pStyle w:val="4"/>
      </w:pPr>
      <w:bookmarkStart w:id="26" w:name="_Toc23434"/>
      <w:r>
        <w:t>6.2 应对措施制定</w:t>
      </w:r>
      <w:bookmarkEnd w:id="26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268"/>
        <w:gridCol w:w="2268"/>
        <w:gridCol w:w="2268"/>
      </w:tblGrid>
      <w:tr w14:paraId="39B9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24C8F543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风险项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831B8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预防措施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4D1764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缓解措施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EBE9E5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应急措施</w:t>
            </w:r>
          </w:p>
        </w:tc>
      </w:tr>
      <w:tr w14:paraId="595D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DCC64F9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资金安全/账务不一致</w:t>
            </w:r>
          </w:p>
        </w:tc>
        <w:tc>
          <w:tcPr>
            <w:tcW w:w="2268" w:type="dxa"/>
            <w:vAlign w:val="center"/>
          </w:tcPr>
          <w:p w14:paraId="61D13911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全链路对账验证、幂等性测试、资损缺陷紧急通道</w:t>
            </w:r>
          </w:p>
        </w:tc>
        <w:tc>
          <w:tcPr>
            <w:tcW w:w="2268" w:type="dxa"/>
            <w:vAlign w:val="center"/>
          </w:tcPr>
          <w:p w14:paraId="487E1EF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增加账务对账自动化、每日对账监控</w:t>
            </w:r>
          </w:p>
        </w:tc>
        <w:tc>
          <w:tcPr>
            <w:tcW w:w="2268" w:type="dxa"/>
            <w:vAlign w:val="center"/>
          </w:tcPr>
          <w:p w14:paraId="116F84CB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立即冻结交易、启动资损追回、紧急回滚版本</w:t>
            </w:r>
          </w:p>
        </w:tc>
      </w:tr>
      <w:tr w14:paraId="48CE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FD3FED5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银行渠道联调不稳定</w:t>
            </w:r>
          </w:p>
        </w:tc>
        <w:tc>
          <w:tcPr>
            <w:tcW w:w="2268" w:type="dxa"/>
            <w:vAlign w:val="center"/>
          </w:tcPr>
          <w:p w14:paraId="4CE64A3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提前对接银行测试环境、建立Mock渠道模拟</w:t>
            </w:r>
          </w:p>
        </w:tc>
        <w:tc>
          <w:tcPr>
            <w:tcW w:w="2268" w:type="dxa"/>
            <w:vAlign w:val="center"/>
          </w:tcPr>
          <w:p w14:paraId="32D18C7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多渠道并行测试、优先测试核心渠道</w:t>
            </w:r>
          </w:p>
        </w:tc>
        <w:tc>
          <w:tcPr>
            <w:tcW w:w="2268" w:type="dxa"/>
            <w:vAlign w:val="center"/>
          </w:tcPr>
          <w:p w14:paraId="303B44B3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渠道降级（切换备用渠道）、限制该渠道支付</w:t>
            </w:r>
          </w:p>
        </w:tc>
      </w:tr>
      <w:tr w14:paraId="5DA7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492D97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高并发性能不达标</w:t>
            </w:r>
          </w:p>
        </w:tc>
        <w:tc>
          <w:tcPr>
            <w:tcW w:w="2268" w:type="dxa"/>
            <w:vAlign w:val="center"/>
          </w:tcPr>
          <w:p w14:paraId="7074A115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开发阶段性能评审、提前进行容量评估</w:t>
            </w:r>
          </w:p>
        </w:tc>
        <w:tc>
          <w:tcPr>
            <w:tcW w:w="2268" w:type="dxa"/>
            <w:vAlign w:val="center"/>
          </w:tcPr>
          <w:p w14:paraId="6E861321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性能调优、增加服务器资源、优化SQL</w:t>
            </w:r>
          </w:p>
        </w:tc>
        <w:tc>
          <w:tcPr>
            <w:tcW w:w="2268" w:type="dxa"/>
            <w:vAlign w:val="center"/>
          </w:tcPr>
          <w:p w14:paraId="058BCF81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限流降级、关闭非核心功能、弹性扩容</w:t>
            </w:r>
          </w:p>
        </w:tc>
      </w:tr>
      <w:tr w14:paraId="07AC0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EB963C5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支付安全漏洞</w:t>
            </w:r>
          </w:p>
        </w:tc>
        <w:tc>
          <w:tcPr>
            <w:tcW w:w="2268" w:type="dxa"/>
            <w:vAlign w:val="center"/>
          </w:tcPr>
          <w:p w14:paraId="4719151F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安全左移（开发阶段安全编码规范）、定期渗透测试</w:t>
            </w:r>
          </w:p>
        </w:tc>
        <w:tc>
          <w:tcPr>
            <w:tcW w:w="2268" w:type="dxa"/>
            <w:vAlign w:val="center"/>
          </w:tcPr>
          <w:p w14:paraId="348FFEBC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增加安全测试用例、引入SAST/DAST工具</w:t>
            </w:r>
          </w:p>
        </w:tc>
        <w:tc>
          <w:tcPr>
            <w:tcW w:w="2268" w:type="dxa"/>
            <w:vAlign w:val="center"/>
          </w:tcPr>
          <w:p w14:paraId="462610A4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紧急修复热更新、临时关闭受影响功能、安全公告</w:t>
            </w:r>
          </w:p>
        </w:tc>
      </w:tr>
      <w:tr w14:paraId="6225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10336C3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测试时间不足</w:t>
            </w:r>
          </w:p>
        </w:tc>
        <w:tc>
          <w:tcPr>
            <w:tcW w:w="2268" w:type="dxa"/>
            <w:vAlign w:val="center"/>
          </w:tcPr>
          <w:p w14:paraId="6D3986BA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严格范围控制、优先级排序、自动化回归</w:t>
            </w:r>
          </w:p>
        </w:tc>
        <w:tc>
          <w:tcPr>
            <w:tcW w:w="2268" w:type="dxa"/>
            <w:vAlign w:val="center"/>
          </w:tcPr>
          <w:p w14:paraId="1C4A49F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增加测试人力、延长测试时间、周末加班</w:t>
            </w:r>
          </w:p>
        </w:tc>
        <w:tc>
          <w:tcPr>
            <w:tcW w:w="2268" w:type="dxa"/>
            <w:vAlign w:val="center"/>
          </w:tcPr>
          <w:p w14:paraId="2719715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聚焦核心支付链路、非核心功能灰度验证后迭代</w:t>
            </w:r>
          </w:p>
        </w:tc>
      </w:tr>
      <w:tr w14:paraId="06FC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9A249C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兼容性覆盖不全</w:t>
            </w:r>
          </w:p>
        </w:tc>
        <w:tc>
          <w:tcPr>
            <w:tcW w:w="2268" w:type="dxa"/>
            <w:vAlign w:val="center"/>
          </w:tcPr>
          <w:p w14:paraId="53AB350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云真机平台补充设备、Top机型优先覆盖</w:t>
            </w:r>
          </w:p>
        </w:tc>
        <w:tc>
          <w:tcPr>
            <w:tcW w:w="2268" w:type="dxa"/>
            <w:vAlign w:val="center"/>
          </w:tcPr>
          <w:p w14:paraId="2AED5BB0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用户反馈快速响应、远程协助排查</w:t>
            </w:r>
          </w:p>
        </w:tc>
        <w:tc>
          <w:tcPr>
            <w:tcW w:w="2268" w:type="dxa"/>
            <w:vAlign w:val="center"/>
          </w:tcPr>
          <w:p w14:paraId="6E40098D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问题机型临时提示、后续版本热修复</w:t>
            </w:r>
          </w:p>
        </w:tc>
      </w:tr>
    </w:tbl>
    <w:p w14:paraId="444CA9DF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表9 风险应对措施表</w:t>
      </w:r>
    </w:p>
    <w:p w14:paraId="259B40F3">
      <w:pPr>
        <w:pStyle w:val="4"/>
      </w:pPr>
      <w:bookmarkStart w:id="27" w:name="_Toc14598"/>
      <w:r>
        <w:t>6.3 应急预案准备</w:t>
      </w:r>
      <w:bookmarkEnd w:id="27"/>
    </w:p>
    <w:p w14:paraId="3B231198">
      <w:pPr>
        <w:ind w:firstLine="0"/>
      </w:pPr>
      <w:r>
        <w:rPr>
          <w:b/>
        </w:rPr>
        <w:t>紧急情况处理流程：</w:t>
      </w:r>
    </w:p>
    <w:p w14:paraId="1A26F8A1">
      <w:pPr>
        <w:ind w:firstLine="0"/>
      </w:pPr>
      <w:r>
        <w:t>发现问题 → 评估影响（是否涉及资金）→ 启动应急预案 → 执行降级/回滚 → 问题修复 → 验证恢复 → 事后复盘</w:t>
      </w:r>
    </w:p>
    <w:p w14:paraId="3FFB7E20">
      <w:pPr>
        <w:ind w:firstLine="0"/>
      </w:pPr>
      <w:r>
        <w:rPr>
          <w:b/>
        </w:rPr>
        <w:t>沟通机制：</w:t>
      </w:r>
    </w:p>
    <w:p w14:paraId="5B875F39">
      <w:pPr>
        <w:pStyle w:val="16"/>
        <w:ind w:left="420" w:firstLine="0"/>
      </w:pPr>
      <w:r>
        <w:rPr>
          <w:rFonts w:ascii="Arial" w:hAnsi="Arial" w:eastAsia="宋体"/>
          <w:sz w:val="24"/>
        </w:rPr>
        <w:t>每日站会同步风险状态</w:t>
      </w:r>
    </w:p>
    <w:p w14:paraId="7E6C6EF3">
      <w:pPr>
        <w:pStyle w:val="16"/>
        <w:ind w:left="420" w:firstLine="0"/>
      </w:pPr>
      <w:r>
        <w:rPr>
          <w:rFonts w:ascii="Arial" w:hAnsi="Arial" w:eastAsia="宋体"/>
          <w:sz w:val="24"/>
        </w:rPr>
        <w:t>资损风险升级机制：测试负责人 → 技术总监 → CTO（15分钟内）</w:t>
      </w:r>
    </w:p>
    <w:p w14:paraId="10753BD6">
      <w:pPr>
        <w:pStyle w:val="16"/>
        <w:ind w:left="420" w:firstLine="0"/>
      </w:pPr>
      <w:r>
        <w:rPr>
          <w:rFonts w:ascii="Arial" w:hAnsi="Arial" w:eastAsia="宋体"/>
          <w:sz w:val="24"/>
        </w:rPr>
        <w:t>紧急情况5分钟内响应，30分钟内给出解决方案</w:t>
      </w:r>
    </w:p>
    <w:p w14:paraId="7554F834">
      <w:pPr>
        <w:pStyle w:val="16"/>
        <w:ind w:left="420" w:firstLine="0"/>
      </w:pPr>
      <w:r>
        <w:rPr>
          <w:rFonts w:ascii="Arial" w:hAnsi="Arial" w:eastAsia="宋体"/>
          <w:sz w:val="24"/>
        </w:rPr>
        <w:t>上线后72小时重点监控，安排值班人员</w:t>
      </w:r>
    </w:p>
    <w:p w14:paraId="3FAD8842">
      <w:pPr>
        <w:ind w:firstLine="0"/>
      </w:pPr>
      <w:r>
        <w:rPr>
          <w:b/>
        </w:rPr>
        <w:t>资损专项应急预案：</w:t>
      </w:r>
    </w:p>
    <w:p w14:paraId="108D777D">
      <w:pPr>
        <w:pStyle w:val="16"/>
        <w:ind w:left="420" w:firstLine="0"/>
      </w:pPr>
      <w:r>
        <w:rPr>
          <w:rFonts w:ascii="Arial" w:hAnsi="Arial" w:eastAsia="宋体"/>
          <w:sz w:val="24"/>
        </w:rPr>
        <w:t>一旦发现账务不一致，立即暂停相关支付渠道</w:t>
      </w:r>
    </w:p>
    <w:p w14:paraId="0E23BFDF">
      <w:pPr>
        <w:pStyle w:val="16"/>
        <w:ind w:left="420" w:firstLine="0"/>
      </w:pPr>
      <w:r>
        <w:rPr>
          <w:rFonts w:ascii="Arial" w:hAnsi="Arial" w:eastAsia="宋体"/>
          <w:sz w:val="24"/>
        </w:rPr>
        <w:t>启动账务核对程序，定位影响范围和资金金额</w:t>
      </w:r>
    </w:p>
    <w:p w14:paraId="78EB169D">
      <w:pPr>
        <w:pStyle w:val="16"/>
        <w:ind w:left="420" w:firstLine="0"/>
      </w:pPr>
      <w:r>
        <w:rPr>
          <w:rFonts w:ascii="Arial" w:hAnsi="Arial" w:eastAsia="宋体"/>
          <w:sz w:val="24"/>
        </w:rPr>
        <w:t>对受损用户进行资金补偿和主动通知</w:t>
      </w:r>
    </w:p>
    <w:p w14:paraId="34B74177">
      <w:pPr>
        <w:pStyle w:val="16"/>
        <w:ind w:left="420" w:firstLine="0"/>
      </w:pPr>
      <w:r>
        <w:rPr>
          <w:rFonts w:ascii="Arial" w:hAnsi="Arial" w:eastAsia="宋体"/>
          <w:sz w:val="24"/>
        </w:rPr>
        <w:t>保留完整交易日志和审计记录，配合监管调查</w:t>
      </w:r>
    </w:p>
    <w:p w14:paraId="1B83BF60">
      <w:r>
        <w:br w:type="page"/>
      </w:r>
    </w:p>
    <w:p w14:paraId="07BBEF25">
      <w:pPr>
        <w:pStyle w:val="3"/>
      </w:pPr>
      <w:bookmarkStart w:id="28" w:name="_Toc9019"/>
      <w:r>
        <w:t>7. 成功标准与交付物</w:t>
      </w:r>
      <w:bookmarkEnd w:id="28"/>
    </w:p>
    <w:p w14:paraId="56477DF6">
      <w:pPr>
        <w:pStyle w:val="4"/>
      </w:pPr>
      <w:bookmarkStart w:id="29" w:name="_Toc15886"/>
      <w:r>
        <w:t>7.1 测试完成标准</w:t>
      </w:r>
      <w:bookmarkEnd w:id="29"/>
    </w:p>
    <w:p w14:paraId="7B7383D1">
      <w:pPr>
        <w:pStyle w:val="16"/>
        <w:ind w:left="420" w:firstLine="0"/>
      </w:pPr>
      <w:r>
        <w:rPr>
          <w:rFonts w:ascii="Arial" w:hAnsi="Arial" w:eastAsia="宋体"/>
          <w:sz w:val="24"/>
        </w:rPr>
        <w:t>所有P0/P1测试用例100%执行通过</w:t>
      </w:r>
    </w:p>
    <w:p w14:paraId="2219C238">
      <w:pPr>
        <w:pStyle w:val="16"/>
        <w:ind w:left="420" w:firstLine="0"/>
      </w:pPr>
      <w:r>
        <w:rPr>
          <w:rFonts w:ascii="Arial" w:hAnsi="Arial" w:eastAsia="宋体"/>
          <w:sz w:val="24"/>
        </w:rPr>
        <w:t>发现缺陷98%以上已修复并验证（资损缺陷100%修复）</w:t>
      </w:r>
    </w:p>
    <w:p w14:paraId="78F1B7D1">
      <w:pPr>
        <w:pStyle w:val="16"/>
        <w:ind w:left="420" w:firstLine="0"/>
      </w:pPr>
      <w:r>
        <w:rPr>
          <w:rFonts w:ascii="Arial" w:hAnsi="Arial" w:eastAsia="宋体"/>
          <w:sz w:val="24"/>
        </w:rPr>
        <w:t>性能指标达到预定目标（双11峰值TPS达标）</w:t>
      </w:r>
    </w:p>
    <w:p w14:paraId="157B74F0">
      <w:pPr>
        <w:pStyle w:val="16"/>
        <w:ind w:left="420" w:firstLine="0"/>
      </w:pPr>
      <w:r>
        <w:rPr>
          <w:rFonts w:ascii="Arial" w:hAnsi="Arial" w:eastAsia="宋体"/>
          <w:sz w:val="24"/>
        </w:rPr>
        <w:t>安全扫描无高危漏洞，渗透测试无严重安全问题</w:t>
      </w:r>
    </w:p>
    <w:p w14:paraId="5B8BBBF7">
      <w:pPr>
        <w:pStyle w:val="16"/>
        <w:ind w:left="420" w:firstLine="0"/>
      </w:pPr>
      <w:r>
        <w:rPr>
          <w:rFonts w:ascii="Arial" w:hAnsi="Arial" w:eastAsia="宋体"/>
          <w:sz w:val="24"/>
        </w:rPr>
        <w:t>兼容性测试Top30主流机型100%通过</w:t>
      </w:r>
    </w:p>
    <w:p w14:paraId="383FFFB8">
      <w:pPr>
        <w:pStyle w:val="16"/>
        <w:ind w:left="420" w:firstLine="0"/>
      </w:pPr>
      <w:r>
        <w:rPr>
          <w:rFonts w:ascii="Arial" w:hAnsi="Arial" w:eastAsia="宋体"/>
          <w:sz w:val="24"/>
        </w:rPr>
        <w:t>账务对账零差异，资损率为0</w:t>
      </w:r>
    </w:p>
    <w:p w14:paraId="310D7DE4">
      <w:pPr>
        <w:pStyle w:val="16"/>
        <w:ind w:left="420" w:firstLine="0"/>
      </w:pPr>
      <w:r>
        <w:rPr>
          <w:rFonts w:ascii="Arial" w:hAnsi="Arial" w:eastAsia="宋体"/>
          <w:sz w:val="24"/>
        </w:rPr>
        <w:t>风控拦截准确率≥99.5%</w:t>
      </w:r>
    </w:p>
    <w:p w14:paraId="6A1AF5D3">
      <w:pPr>
        <w:pStyle w:val="4"/>
      </w:pPr>
      <w:bookmarkStart w:id="30" w:name="_Toc31981"/>
      <w:r>
        <w:t>7.2 交付物清单</w:t>
      </w:r>
      <w:bookmarkEnd w:id="30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268"/>
        <w:gridCol w:w="5386"/>
      </w:tblGrid>
      <w:tr w14:paraId="226F6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1285576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序号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14DACE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交付物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58C25A2C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b/>
                <w:sz w:val="21"/>
              </w:rPr>
              <w:t>说明</w:t>
            </w:r>
          </w:p>
        </w:tc>
      </w:tr>
      <w:tr w14:paraId="5067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4F36C8A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1</w:t>
            </w:r>
          </w:p>
        </w:tc>
        <w:tc>
          <w:tcPr>
            <w:tcW w:w="2268" w:type="dxa"/>
            <w:vAlign w:val="center"/>
          </w:tcPr>
          <w:p w14:paraId="3B5AB9FD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测试计划文档</w:t>
            </w:r>
          </w:p>
        </w:tc>
        <w:tc>
          <w:tcPr>
            <w:tcW w:w="5386" w:type="dxa"/>
            <w:vAlign w:val="center"/>
          </w:tcPr>
          <w:p w14:paraId="2F5191A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本文档，含测试策略、计划、风险评估</w:t>
            </w:r>
          </w:p>
        </w:tc>
      </w:tr>
      <w:tr w14:paraId="0600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606D2DD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2</w:t>
            </w:r>
          </w:p>
        </w:tc>
        <w:tc>
          <w:tcPr>
            <w:tcW w:w="2268" w:type="dxa"/>
            <w:vAlign w:val="center"/>
          </w:tcPr>
          <w:p w14:paraId="2F92FD0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测试用例集</w:t>
            </w:r>
          </w:p>
        </w:tc>
        <w:tc>
          <w:tcPr>
            <w:tcW w:w="5386" w:type="dxa"/>
            <w:vAlign w:val="center"/>
          </w:tcPr>
          <w:p w14:paraId="366B540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功能300+，兼容性80+，性能30+，安全50+</w:t>
            </w:r>
          </w:p>
        </w:tc>
      </w:tr>
      <w:tr w14:paraId="300D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7A3E7D3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3</w:t>
            </w:r>
          </w:p>
        </w:tc>
        <w:tc>
          <w:tcPr>
            <w:tcW w:w="2268" w:type="dxa"/>
            <w:vAlign w:val="center"/>
          </w:tcPr>
          <w:p w14:paraId="0B1999FF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测试执行报告</w:t>
            </w:r>
          </w:p>
        </w:tc>
        <w:tc>
          <w:tcPr>
            <w:tcW w:w="5386" w:type="dxa"/>
            <w:vAlign w:val="center"/>
          </w:tcPr>
          <w:p w14:paraId="519A76C9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用例执行情况、通过率、缺陷统计</w:t>
            </w:r>
          </w:p>
        </w:tc>
      </w:tr>
      <w:tr w14:paraId="22F3E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48123A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4</w:t>
            </w:r>
          </w:p>
        </w:tc>
        <w:tc>
          <w:tcPr>
            <w:tcW w:w="2268" w:type="dxa"/>
            <w:vAlign w:val="center"/>
          </w:tcPr>
          <w:p w14:paraId="421B655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缺陷分析报告</w:t>
            </w:r>
          </w:p>
        </w:tc>
        <w:tc>
          <w:tcPr>
            <w:tcW w:w="5386" w:type="dxa"/>
            <w:vAlign w:val="center"/>
          </w:tcPr>
          <w:p w14:paraId="70690254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缺陷分布、根因分析、资损缺陷专项分析</w:t>
            </w:r>
          </w:p>
        </w:tc>
      </w:tr>
      <w:tr w14:paraId="7718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970FDB4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5</w:t>
            </w:r>
          </w:p>
        </w:tc>
        <w:tc>
          <w:tcPr>
            <w:tcW w:w="2268" w:type="dxa"/>
            <w:vAlign w:val="center"/>
          </w:tcPr>
          <w:p w14:paraId="3856EF2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性能测试报告</w:t>
            </w:r>
          </w:p>
        </w:tc>
        <w:tc>
          <w:tcPr>
            <w:tcW w:w="5386" w:type="dxa"/>
            <w:vAlign w:val="center"/>
          </w:tcPr>
          <w:p w14:paraId="7B9F371A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压测数据、瓶颈分析、容量评估</w:t>
            </w:r>
          </w:p>
        </w:tc>
      </w:tr>
      <w:tr w14:paraId="7C49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22B3002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6</w:t>
            </w:r>
          </w:p>
        </w:tc>
        <w:tc>
          <w:tcPr>
            <w:tcW w:w="2268" w:type="dxa"/>
            <w:vAlign w:val="center"/>
          </w:tcPr>
          <w:p w14:paraId="4BB917F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安全测试报告</w:t>
            </w:r>
          </w:p>
        </w:tc>
        <w:tc>
          <w:tcPr>
            <w:tcW w:w="5386" w:type="dxa"/>
            <w:vAlign w:val="center"/>
          </w:tcPr>
          <w:p w14:paraId="39106A64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渗透测试结果、漏洞清单、整改建议</w:t>
            </w:r>
          </w:p>
        </w:tc>
      </w:tr>
      <w:tr w14:paraId="5CA7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55C06086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7</w:t>
            </w:r>
          </w:p>
        </w:tc>
        <w:tc>
          <w:tcPr>
            <w:tcW w:w="2268" w:type="dxa"/>
            <w:vAlign w:val="center"/>
          </w:tcPr>
          <w:p w14:paraId="46918C92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账务对账报告</w:t>
            </w:r>
          </w:p>
        </w:tc>
        <w:tc>
          <w:tcPr>
            <w:tcW w:w="5386" w:type="dxa"/>
            <w:vAlign w:val="center"/>
          </w:tcPr>
          <w:p w14:paraId="1A286FB2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全链路对账结果、差异分析</w:t>
            </w:r>
          </w:p>
        </w:tc>
      </w:tr>
      <w:tr w14:paraId="1614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302BCD9E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8</w:t>
            </w:r>
          </w:p>
        </w:tc>
        <w:tc>
          <w:tcPr>
            <w:tcW w:w="2268" w:type="dxa"/>
            <w:vAlign w:val="center"/>
          </w:tcPr>
          <w:p w14:paraId="3A7B6F9A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上线风险评估报告</w:t>
            </w:r>
          </w:p>
        </w:tc>
        <w:tc>
          <w:tcPr>
            <w:tcW w:w="5386" w:type="dxa"/>
            <w:vAlign w:val="center"/>
          </w:tcPr>
          <w:p w14:paraId="2FCB945A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遗留风险、灰度方案、回滚预案</w:t>
            </w:r>
          </w:p>
        </w:tc>
      </w:tr>
      <w:tr w14:paraId="392A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56EB393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9</w:t>
            </w:r>
          </w:p>
        </w:tc>
        <w:tc>
          <w:tcPr>
            <w:tcW w:w="2268" w:type="dxa"/>
            <w:vAlign w:val="center"/>
          </w:tcPr>
          <w:p w14:paraId="72096C3B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自动化测试脚本</w:t>
            </w:r>
          </w:p>
        </w:tc>
        <w:tc>
          <w:tcPr>
            <w:tcW w:w="5386" w:type="dxa"/>
            <w:vAlign w:val="center"/>
          </w:tcPr>
          <w:p w14:paraId="47BD1817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核心支付链路自动化回归脚本</w:t>
            </w:r>
          </w:p>
        </w:tc>
      </w:tr>
      <w:tr w14:paraId="52FA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191A8377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10</w:t>
            </w:r>
          </w:p>
        </w:tc>
        <w:tc>
          <w:tcPr>
            <w:tcW w:w="2268" w:type="dxa"/>
            <w:vAlign w:val="center"/>
          </w:tcPr>
          <w:p w14:paraId="2172A4D0">
            <w:pPr>
              <w:spacing w:before="40" w:after="40"/>
              <w:ind w:firstLine="0"/>
              <w:jc w:val="center"/>
            </w:pPr>
            <w:r>
              <w:rPr>
                <w:rFonts w:ascii="Arial" w:hAnsi="Arial" w:eastAsia="宋体"/>
                <w:sz w:val="21"/>
              </w:rPr>
              <w:t>知识总结文档</w:t>
            </w:r>
          </w:p>
        </w:tc>
        <w:tc>
          <w:tcPr>
            <w:tcW w:w="5386" w:type="dxa"/>
            <w:vAlign w:val="center"/>
          </w:tcPr>
          <w:p w14:paraId="64ADD643">
            <w:pPr>
              <w:spacing w:before="40" w:after="40"/>
              <w:ind w:firstLine="0"/>
              <w:jc w:val="left"/>
            </w:pPr>
            <w:r>
              <w:rPr>
                <w:rFonts w:ascii="Arial" w:hAnsi="Arial" w:eastAsia="宋体"/>
                <w:sz w:val="21"/>
              </w:rPr>
              <w:t>支付测试经验、踩坑记录、最佳实践</w:t>
            </w:r>
          </w:p>
        </w:tc>
      </w:tr>
    </w:tbl>
    <w:p w14:paraId="1D17F195">
      <w:pPr>
        <w:spacing w:before="80" w:after="120"/>
        <w:ind w:firstLine="0"/>
        <w:jc w:val="center"/>
      </w:pPr>
      <w:r>
        <w:rPr>
          <w:rFonts w:ascii="Arial" w:hAnsi="Arial" w:eastAsia="宋体"/>
          <w:sz w:val="21"/>
        </w:rPr>
        <w:t>表10 交付物清单</w:t>
      </w:r>
    </w:p>
    <w:p w14:paraId="3430C7D6">
      <w:r>
        <w:br w:type="page"/>
      </w:r>
    </w:p>
    <w:p w14:paraId="16A0D0B8">
      <w:pPr>
        <w:pStyle w:val="3"/>
      </w:pPr>
      <w:bookmarkStart w:id="31" w:name="_Toc32573"/>
      <w:r>
        <w:t>8. 总结</w:t>
      </w:r>
      <w:bookmarkEnd w:id="31"/>
    </w:p>
    <w:p w14:paraId="579CC0DB">
      <w:r>
        <w:t>本测试方案通过系统化的"四位一体"测试框架，为支付宝支付功能提供了全面的质量保障计划。方案以"零资损"为核心目标，不仅关注当前版本的功能正确性和性能稳定性，更着眼于资金安全、交易一致性和监管合规等支付领域的核心质量挑战，通过全链路对账、风控验证和安全渗透等专项测试，确保支付功能的安全可靠。</w:t>
      </w:r>
    </w:p>
    <w:p w14:paraId="29FD40F2">
      <w:pPr>
        <w:ind w:firstLine="0"/>
      </w:pPr>
      <w:r>
        <w:rPr>
          <w:b/>
        </w:rPr>
        <w:t>方案亮点：</w:t>
      </w:r>
    </w:p>
    <w:p w14:paraId="37C1EA87">
      <w:pPr>
        <w:pStyle w:val="16"/>
        <w:ind w:left="420" w:firstLine="0"/>
      </w:pPr>
      <w:r>
        <w:rPr>
          <w:rFonts w:ascii="Arial" w:hAnsi="Arial" w:eastAsia="宋体"/>
          <w:sz w:val="24"/>
        </w:rPr>
        <w:t>以资金安全为核心的测试策略，全链路对账保障零资损</w:t>
      </w:r>
    </w:p>
    <w:p w14:paraId="367C15D3">
      <w:pPr>
        <w:pStyle w:val="16"/>
        <w:ind w:left="420" w:firstLine="0"/>
      </w:pPr>
      <w:r>
        <w:rPr>
          <w:rFonts w:ascii="Arial" w:hAnsi="Arial" w:eastAsia="宋体"/>
          <w:sz w:val="24"/>
        </w:rPr>
        <w:t>高并发性能专项，双11峰值场景预演与容量规划</w:t>
      </w:r>
    </w:p>
    <w:p w14:paraId="470B22FF">
      <w:pPr>
        <w:pStyle w:val="16"/>
        <w:ind w:left="420" w:firstLine="0"/>
      </w:pPr>
      <w:r>
        <w:rPr>
          <w:rFonts w:ascii="Arial" w:hAnsi="Arial" w:eastAsia="宋体"/>
          <w:sz w:val="24"/>
        </w:rPr>
        <w:t>支付安全深度测试，覆盖渗透测试、风控验证和合规审计</w:t>
      </w:r>
    </w:p>
    <w:p w14:paraId="268AE484">
      <w:pPr>
        <w:pStyle w:val="16"/>
        <w:ind w:left="420" w:firstLine="0"/>
      </w:pPr>
      <w:r>
        <w:rPr>
          <w:rFonts w:ascii="Arial" w:hAnsi="Arial" w:eastAsia="宋体"/>
          <w:sz w:val="24"/>
        </w:rPr>
        <w:t>务实的团队能力建设规划，聚焦支付安全和混沌工程等前沿领域</w:t>
      </w:r>
    </w:p>
    <w:p w14:paraId="547B6BD4">
      <w:pPr>
        <w:pStyle w:val="16"/>
        <w:ind w:left="420" w:firstLine="0"/>
      </w:pPr>
      <w:r>
        <w:rPr>
          <w:rFonts w:ascii="Arial" w:hAnsi="Arial" w:eastAsia="宋体"/>
          <w:sz w:val="24"/>
        </w:rPr>
        <w:t>前瞻性的风险管理，资损专项应急预案确保极端情况可控</w:t>
      </w:r>
    </w:p>
    <w:p w14:paraId="4C91706F">
      <w:pPr>
        <w:ind w:firstLine="0"/>
      </w:pPr>
      <w:r>
        <w:rPr>
          <w:b/>
        </w:rPr>
        <w:t>预期价值：</w:t>
      </w:r>
    </w:p>
    <w:p w14:paraId="7265BE3D">
      <w:r>
        <w:t>在保障本次支付功能高质量、零资损上线的同时，为团队沉淀支付领域测试资产，提升整体测试能力。通过本次项目实践，团队将在高并发性能调优、支付安全攻防、全链路对账验证等领域积累宝贵经验，为后续支付功能迭代和双11等大促活动奠定坚实的质量保障基础。</w:t>
      </w:r>
    </w:p>
    <w:sectPr>
      <w:footerReference r:id="rId5" w:type="default"/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4DEF2">
    <w:pPr>
      <w:pStyle w:val="24"/>
      <w:jc w:val="center"/>
    </w:pPr>
    <w:r>
      <w:rPr>
        <w:sz w:val="20"/>
      </w:rPr>
      <w:fldChar w:fldCharType="begin"/>
    </w:r>
    <w:r>
      <w:rPr>
        <w:sz w:val="20"/>
      </w:rPr>
      <w:instrText xml:space="preserve">PAGE</w:instrTex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F4004A4"/>
    <w:rsid w:val="776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  <w:ind w:firstLine="420"/>
    </w:pPr>
    <w:rPr>
      <w:rFonts w:ascii="Arial" w:hAnsi="Arial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280" w:after="120" w:line="360" w:lineRule="auto"/>
      <w:ind w:firstLine="0"/>
      <w:outlineLvl w:val="0"/>
    </w:pPr>
    <w:rPr>
      <w:rFonts w:asciiTheme="majorHAnsi" w:hAnsiTheme="majorHAnsi" w:eastAsiaTheme="majorEastAsia" w:cstheme="majorBidi"/>
      <w:b/>
      <w:bCs/>
      <w:color w:val="000000"/>
      <w:sz w:val="32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20" w:after="100" w:line="360" w:lineRule="auto"/>
      <w:ind w:firstLine="0"/>
      <w:outlineLvl w:val="1"/>
    </w:pPr>
    <w:rPr>
      <w:rFonts w:asciiTheme="majorHAnsi" w:hAnsiTheme="majorHAnsi" w:eastAsiaTheme="majorEastAsia" w:cstheme="majorBidi"/>
      <w:b/>
      <w:bCs/>
      <w:color w:val="000000"/>
      <w:sz w:val="28"/>
      <w:szCs w:val="26"/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180" w:after="80" w:line="360" w:lineRule="auto"/>
      <w:ind w:firstLine="0"/>
      <w:outlineLvl w:val="2"/>
    </w:pPr>
    <w:rPr>
      <w:rFonts w:asciiTheme="majorHAnsi" w:hAnsiTheme="majorHAnsi" w:eastAsiaTheme="majorEastAsia" w:cstheme="majorBidi"/>
      <w:b/>
      <w:bCs/>
      <w:color w:val="000000"/>
      <w:sz w:val="24"/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toc 1"/>
    <w:basedOn w:val="1"/>
    <w:next w:val="1"/>
    <w:semiHidden/>
    <w:unhideWhenUsed/>
    <w:uiPriority w:val="39"/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uiPriority w:val="99"/>
    <w:pPr>
      <w:ind w:left="360" w:hanging="360"/>
      <w:contextualSpacing/>
    </w:pPr>
  </w:style>
  <w:style w:type="paragraph" w:styleId="29">
    <w:name w:val="toc 2"/>
    <w:basedOn w:val="1"/>
    <w:next w:val="1"/>
    <w:semiHidden/>
    <w:unhideWhenUsed/>
    <w:uiPriority w:val="39"/>
    <w:pPr>
      <w:ind w:left="420" w:leftChars="200"/>
    </w:pPr>
  </w:style>
  <w:style w:type="paragraph" w:styleId="30">
    <w:name w:val="Body Text 2"/>
    <w:basedOn w:val="1"/>
    <w:link w:val="147"/>
    <w:unhideWhenUsed/>
    <w:uiPriority w:val="99"/>
    <w:pPr>
      <w:spacing w:after="120" w:line="480" w:lineRule="auto"/>
    </w:pPr>
  </w:style>
  <w:style w:type="paragraph" w:styleId="31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000000"/>
      <w:spacing w:val="5"/>
      <w:kern w:val="28"/>
      <w:sz w:val="36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5"/>
    <w:uiPriority w:val="99"/>
  </w:style>
  <w:style w:type="character" w:customStyle="1" w:styleId="138">
    <w:name w:val="Footer Char"/>
    <w:basedOn w:val="134"/>
    <w:link w:val="24"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uiPriority w:val="99"/>
  </w:style>
  <w:style w:type="character" w:customStyle="1" w:styleId="147">
    <w:name w:val="Body Text 2 Char"/>
    <w:basedOn w:val="134"/>
    <w:link w:val="30"/>
    <w:qFormat/>
    <w:uiPriority w:val="99"/>
  </w:style>
  <w:style w:type="character" w:customStyle="1" w:styleId="148">
    <w:name w:val="Body Text 3 Char"/>
    <w:basedOn w:val="134"/>
    <w:link w:val="17"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652</Words>
  <Characters>713</Characters>
  <Lines>0</Lines>
  <Paragraphs>0</Paragraphs>
  <TotalTime>1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qy</cp:lastModifiedBy>
  <dcterms:modified xsi:type="dcterms:W3CDTF">2026-08-22T15:03:23Z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eyJoZGlkIjoiOWJlYTAyZjYzZmMzMTQ1NGVjOTI3YzJhMzE2NDExNTEiLCJ1c2VySWQiOiIxMTI1ODIwMDk5In0=</vt:lpwstr>
  </property>
  <property fmtid="{D5CDD505-2E9C-101B-9397-08002B2CF9AE}" pid="3" name="KSOProductBuildVer">
    <vt:lpwstr>2052-12.1.0.28043</vt:lpwstr>
  </property>
  <property fmtid="{D5CDD505-2E9C-101B-9397-08002B2CF9AE}" pid="4" name="ICV">
    <vt:lpwstr>86EBAF7B85904050B3E441EC6B6DD375_13</vt:lpwstr>
  </property>
</Properties>
</file>